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16625D" w:rsidRPr="0016625D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16625D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16625D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16625D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16625D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16625D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16625D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Kode </w:t>
            </w: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77A0F3F3" w:rsidR="005C530D" w:rsidRPr="0016625D" w:rsidRDefault="008D26BE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SP-D611-53</w:t>
            </w:r>
          </w:p>
        </w:tc>
      </w:tr>
      <w:tr w:rsidR="0016625D" w:rsidRPr="0016625D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16625D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16625D" w:rsidRPr="0016625D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16625D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16625D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16625D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16625D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16625D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16625D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16625D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16625D" w:rsidRPr="0016625D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79E37B55" w:rsidR="00D8412B" w:rsidRPr="0016625D" w:rsidRDefault="008D26BE" w:rsidP="00D8412B">
            <w:pPr>
              <w:jc w:val="center"/>
              <w:rPr>
                <w:rFonts w:ascii="Calibri" w:hAnsi="Calibri"/>
                <w:bCs/>
                <w:noProof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Tsunami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368AFCD3" w:rsidR="00D8412B" w:rsidRPr="0016625D" w:rsidRDefault="008D26BE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="Arial"/>
                <w:color w:val="000000" w:themeColor="text1"/>
                <w:sz w:val="22"/>
              </w:rPr>
              <w:t>21D06132802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15B1DB7B" w:rsidR="00D8412B" w:rsidRPr="0016625D" w:rsidRDefault="008D26BE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="Calibri" w:hAnsi="Calibr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16625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="Calibri" w:hAnsi="Calibr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16625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Fonts w:ascii="Calibri" w:hAnsi="Calibri"/>
                <w:color w:val="000000" w:themeColor="text1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16625D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16625D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6123C353" w:rsidR="00D8412B" w:rsidRPr="0016625D" w:rsidRDefault="003337EC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 &amp; 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16625D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16625D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16625D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16625D" w:rsidRPr="0016625D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16625D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16625D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16625D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16625D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625D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6625D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16625D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16625D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16625D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16625D" w:rsidRPr="0016625D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16625D" w:rsidRDefault="00FD6E98" w:rsidP="00FD6E9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7E92E4E3" w:rsidR="00FD6E98" w:rsidRPr="0016625D" w:rsidRDefault="003C79A3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Haerany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Sirajuddin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3017BD7A" w:rsidR="00FD6E98" w:rsidRPr="0016625D" w:rsidRDefault="008D26BE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1662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Kaharuddin</w:t>
            </w:r>
            <w:proofErr w:type="spellEnd"/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16625D" w:rsidRDefault="002330BE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16625D" w:rsidRPr="0016625D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16625D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16625D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16625D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16625D" w:rsidRPr="0016625D" w14:paraId="0F7CA20F" w14:textId="77777777" w:rsidTr="000C07BB">
        <w:trPr>
          <w:trHeight w:val="1452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16625D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2D2736EE" w:rsidR="002330BE" w:rsidRPr="0016625D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="004B69AC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20B48F6E" w14:textId="77777777" w:rsidR="002330BE" w:rsidRPr="0016625D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0FED6C8" w14:textId="77777777" w:rsidR="003C79A3" w:rsidRPr="0016625D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CP-7</w:t>
            </w:r>
          </w:p>
          <w:p w14:paraId="77D4CD80" w14:textId="77777777" w:rsidR="003C79A3" w:rsidRPr="0016625D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0BC7625A" w:rsidR="003C79A3" w:rsidRPr="0016625D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42CD4409" w14:textId="254CF046" w:rsidR="000C07BB" w:rsidRPr="0016625D" w:rsidRDefault="000C07B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beserta</w:t>
            </w:r>
            <w:proofErr w:type="spellEnd"/>
            <w:proofErr w:type="gram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menyusun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membentuk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bumi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54D1E93" w14:textId="40C442CC" w:rsidR="003C79A3" w:rsidRPr="0016625D" w:rsidRDefault="000C07B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memecahkan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muncul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3CD57596" w14:textId="21ACE2BF" w:rsidR="002330BE" w:rsidRPr="0016625D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1D524515" w14:textId="77777777" w:rsidR="003C79A3" w:rsidRPr="0016625D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3F88A9C" w14:textId="77777777" w:rsidR="003C79A3" w:rsidRPr="0016625D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KK4</w:t>
            </w:r>
          </w:p>
          <w:p w14:paraId="2C0B88FD" w14:textId="6AAAA87A" w:rsidR="003C79A3" w:rsidRPr="0016625D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2423F0DD" w14:textId="1D71EF52" w:rsidR="004B69AC" w:rsidRPr="0016625D" w:rsidRDefault="000C07BB" w:rsidP="004B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mengeidentifikasi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proofErr w:type="gramEnd"/>
          </w:p>
          <w:p w14:paraId="0B4C348C" w14:textId="77777777" w:rsidR="003C79A3" w:rsidRPr="0016625D" w:rsidRDefault="003C79A3" w:rsidP="004B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A99DEB" w14:textId="35D0C61C" w:rsidR="003C79A3" w:rsidRPr="0016625D" w:rsidRDefault="000C07B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laut</w:t>
            </w:r>
            <w:proofErr w:type="spellEnd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0C07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tektonik</w:t>
            </w:r>
            <w:proofErr w:type="spellEnd"/>
          </w:p>
          <w:p w14:paraId="26A47DD9" w14:textId="7B14DE8C" w:rsidR="003C79A3" w:rsidRPr="0016625D" w:rsidRDefault="003C79A3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16625D" w:rsidRPr="0016625D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16625D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16625D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16625D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431E2BDE" w14:textId="77777777" w:rsidTr="008D26BE">
        <w:trPr>
          <w:trHeight w:val="754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16625D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16625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520CFD47" w14:textId="77777777" w:rsidR="00ED3002" w:rsidRPr="0016625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71FE4FC8" w14:textId="5EBAB7D9" w:rsidR="003337EC" w:rsidRPr="0016625D" w:rsidRDefault="003337EC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10F835F0" w14:textId="123E5B93" w:rsidR="003337EC" w:rsidRPr="0016625D" w:rsidRDefault="003337EC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5DD87DAC" w:rsidR="003337EC" w:rsidRPr="0016625D" w:rsidRDefault="003337EC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781AFFCA" w14:textId="4F4F8491" w:rsidR="003337EC" w:rsidRPr="0016625D" w:rsidRDefault="003337EC" w:rsidP="003337EC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penyebab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mekanisme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terbentuknya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(CP-2) [P6]</w:t>
            </w:r>
          </w:p>
          <w:p w14:paraId="389D9EFE" w14:textId="31DA412A" w:rsidR="008C2CC1" w:rsidRPr="0016625D" w:rsidRDefault="008C2CC1" w:rsidP="003337EC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upaya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bencana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(CP-7) [KK4]</w:t>
            </w:r>
          </w:p>
          <w:p w14:paraId="1D02AF24" w14:textId="0657FBD5" w:rsidR="008C2CC1" w:rsidRPr="0016625D" w:rsidRDefault="008C2CC1" w:rsidP="008C2CC1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Menjelaskan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oseanografi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dari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(CP-7) [KK4]</w:t>
            </w:r>
          </w:p>
          <w:p w14:paraId="7864C2C3" w14:textId="65A4A527" w:rsidR="008C2CC1" w:rsidRPr="0016625D" w:rsidRDefault="008C2CC1" w:rsidP="008C2CC1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daerah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rawan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seismologi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oseanografi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(CP-7) [KK4]</w:t>
            </w:r>
          </w:p>
          <w:p w14:paraId="3ED3ED3B" w14:textId="37001BF8" w:rsidR="003337EC" w:rsidRPr="0016625D" w:rsidRDefault="003337EC" w:rsidP="003337EC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Menganalisis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faktor-faktor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mempengaruhi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kekuatan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skala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(CP-2) [P6]</w:t>
            </w:r>
          </w:p>
          <w:p w14:paraId="6212C766" w14:textId="1AABE3D1" w:rsidR="00B6767D" w:rsidRPr="0016625D" w:rsidRDefault="00B6767D" w:rsidP="003337EC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6A43B907" w14:textId="481B8038" w:rsidR="008C2CC1" w:rsidRPr="0016625D" w:rsidRDefault="008C2CC1" w:rsidP="003337EC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</w:tc>
      </w:tr>
      <w:tr w:rsidR="0016625D" w:rsidRPr="0016625D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16625D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16625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16625D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16625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22C7752C" w14:textId="77777777" w:rsidTr="003337EC">
        <w:trPr>
          <w:trHeight w:val="2825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16625D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20E4C858" w14:textId="3D93D646" w:rsidR="003337EC" w:rsidRPr="0016625D" w:rsidRDefault="003337EC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1]</w:t>
            </w:r>
          </w:p>
          <w:p w14:paraId="6B900681" w14:textId="0F568338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F4B4AB" w14:textId="77777777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693EA" w14:textId="3AC3B5E0" w:rsidR="003337EC" w:rsidRPr="0016625D" w:rsidRDefault="003337EC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2]</w:t>
            </w:r>
          </w:p>
          <w:p w14:paraId="01251D3C" w14:textId="07DF2585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AF24EE" w14:textId="77777777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C53779" w14:textId="5828739F" w:rsidR="003337EC" w:rsidRPr="0016625D" w:rsidRDefault="003337EC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3]</w:t>
            </w:r>
          </w:p>
          <w:p w14:paraId="22E882F4" w14:textId="4CF480E3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0171C9" w14:textId="77777777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EDF108" w14:textId="61770662" w:rsidR="003337EC" w:rsidRPr="0016625D" w:rsidRDefault="003337EC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4]</w:t>
            </w:r>
          </w:p>
          <w:p w14:paraId="2E3CB9B1" w14:textId="6AAC77D7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7E6A50" w14:textId="77777777" w:rsidR="00BA5C49" w:rsidRPr="0016625D" w:rsidRDefault="00BA5C49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E61577" w14:textId="5F6C59F0" w:rsidR="003337EC" w:rsidRPr="0016625D" w:rsidRDefault="003337EC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5]</w:t>
            </w:r>
          </w:p>
          <w:p w14:paraId="730EF7FD" w14:textId="573F9715" w:rsidR="00D412C0" w:rsidRPr="0016625D" w:rsidRDefault="00D412C0" w:rsidP="003337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05F4E945" w14:textId="77777777" w:rsidR="003337EC" w:rsidRPr="0016625D" w:rsidRDefault="003337EC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kejadian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signifikan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seluruh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dunia.</w:t>
            </w:r>
          </w:p>
          <w:p w14:paraId="1FA5B83C" w14:textId="69BD63C9" w:rsidR="003337EC" w:rsidRPr="0016625D" w:rsidRDefault="003337EC" w:rsidP="00B16E79">
            <w:pPr>
              <w:autoSpaceDE/>
              <w:autoSpaceDN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Penyebab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1AA1639" w14:textId="77777777" w:rsidR="00BA5C49" w:rsidRPr="0016625D" w:rsidRDefault="00BA5C4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654080B3" w14:textId="77777777" w:rsidR="003337EC" w:rsidRPr="0016625D" w:rsidRDefault="003337EC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lempeng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tengah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dapat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memicu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76964524" w14:textId="15235A62" w:rsidR="003337EC" w:rsidRPr="0016625D" w:rsidRDefault="003337EC" w:rsidP="00B16E79">
            <w:pPr>
              <w:autoSpaceDE/>
              <w:autoSpaceDN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Peran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pergeseran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vertikal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horizontal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084F14A2" w14:textId="77777777" w:rsidR="00BA5C49" w:rsidRPr="0016625D" w:rsidRDefault="00BA5C4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1BC8CDF4" w14:textId="77777777" w:rsidR="003337EC" w:rsidRPr="0016625D" w:rsidRDefault="003337EC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gelombang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amplitudo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kecepatan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perambatan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191DD1D" w14:textId="5CD732B6" w:rsidR="003337EC" w:rsidRPr="0016625D" w:rsidRDefault="003337EC" w:rsidP="00B16E79">
            <w:pPr>
              <w:autoSpaceDE/>
              <w:autoSpaceDN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kedalaman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46C1623C" w14:textId="77777777" w:rsidR="00BA5C49" w:rsidRPr="0016625D" w:rsidRDefault="00BA5C4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75A01A15" w14:textId="77777777" w:rsidR="003337EC" w:rsidRPr="0016625D" w:rsidRDefault="003337EC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Erosi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habitat,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kerusakan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disebabkan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oleh tsunami.</w:t>
            </w:r>
          </w:p>
          <w:p w14:paraId="1A15A027" w14:textId="03E263C7" w:rsidR="003337EC" w:rsidRPr="0016625D" w:rsidRDefault="003337EC" w:rsidP="00B16E79">
            <w:pPr>
              <w:autoSpaceDE/>
              <w:autoSpaceDN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sosial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ekonomi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psikologis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terkena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1F1A83D0" w14:textId="77777777" w:rsidR="00BA5C49" w:rsidRPr="0016625D" w:rsidRDefault="00BA5C4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4FC2BEFA" w14:textId="77777777" w:rsidR="003337EC" w:rsidRPr="0016625D" w:rsidRDefault="003337EC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peringatan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dini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193EBBD" w14:textId="3EF95DD4" w:rsidR="00AD0718" w:rsidRPr="0016625D" w:rsidRDefault="003337EC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tata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evakuasi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pendidikan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upaya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mengurangi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</w:tr>
      <w:tr w:rsidR="0016625D" w:rsidRPr="0016625D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16625D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6625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7E8A46BA" w:rsidR="00AD0718" w:rsidRPr="0016625D" w:rsidRDefault="007A3409" w:rsidP="007A3409">
            <w:pPr>
              <w:autoSpaceDE/>
              <w:autoSpaceDN/>
              <w:spacing w:after="160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Mata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kuliah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ini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bertujuan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memberikan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fenomena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penyebab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mekanisme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terbentuknya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peristiwa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historis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signifikan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.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Mahasiswa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mempelajari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aspek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seismologi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oseanografi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bencana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</w:tr>
      <w:tr w:rsidR="0016625D" w:rsidRPr="0016625D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16625D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624A6BAC" w14:textId="77777777" w:rsidR="007A3409" w:rsidRPr="0016625D" w:rsidRDefault="007A3409" w:rsidP="003D2D04">
            <w:pPr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</w:t>
            </w:r>
          </w:p>
          <w:p w14:paraId="5C119474" w14:textId="77777777" w:rsidR="007A3409" w:rsidRPr="0016625D" w:rsidRDefault="007A3409" w:rsidP="003D2D04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kejadian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signifikan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seluruh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dunia.</w:t>
            </w:r>
          </w:p>
          <w:p w14:paraId="00DCA3FE" w14:textId="77777777" w:rsidR="007A3409" w:rsidRPr="0016625D" w:rsidRDefault="007A3409" w:rsidP="003D2D04">
            <w:pPr>
              <w:numPr>
                <w:ilvl w:val="0"/>
                <w:numId w:val="4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Penyebab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20F7136" w14:textId="77FD521A" w:rsidR="007A3409" w:rsidRPr="0016625D" w:rsidRDefault="007A3409" w:rsidP="003D2D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Mekanisme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Terbentuknya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</w:t>
            </w:r>
          </w:p>
          <w:p w14:paraId="4576E967" w14:textId="77777777" w:rsidR="007A3409" w:rsidRPr="0016625D" w:rsidRDefault="007A3409" w:rsidP="003D2D04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lempeng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tengah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dapat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memicu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7DE4E483" w14:textId="77777777" w:rsidR="007A3409" w:rsidRPr="0016625D" w:rsidRDefault="007A3409" w:rsidP="003D2D04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Peran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pergeseran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vertikal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horizontal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511F7C76" w14:textId="26FD2D12" w:rsidR="007A3409" w:rsidRPr="0016625D" w:rsidRDefault="007A3409" w:rsidP="003D2D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Properti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</w:t>
            </w:r>
          </w:p>
          <w:p w14:paraId="3FF692E9" w14:textId="77777777" w:rsidR="007A3409" w:rsidRPr="0016625D" w:rsidRDefault="007A3409" w:rsidP="003D2D04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gelombang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amplitudo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kecepatan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perambatan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716EB887" w14:textId="77777777" w:rsidR="007A3409" w:rsidRPr="0016625D" w:rsidRDefault="007A3409" w:rsidP="003D2D04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kedalaman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3FAA029D" w14:textId="256A0172" w:rsidR="007A3409" w:rsidRPr="0016625D" w:rsidRDefault="007A3409" w:rsidP="003D2D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Masyarakat</w:t>
            </w:r>
          </w:p>
          <w:p w14:paraId="78330657" w14:textId="77777777" w:rsidR="007A3409" w:rsidRPr="0016625D" w:rsidRDefault="007A3409" w:rsidP="003D2D04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Erosi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habitat,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kerusakan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disebabkan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oleh tsunami.</w:t>
            </w:r>
          </w:p>
          <w:p w14:paraId="53791AC9" w14:textId="77777777" w:rsidR="007A3409" w:rsidRPr="0016625D" w:rsidRDefault="007A3409" w:rsidP="003D2D04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sosial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ekonomi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psikologis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terkena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568EB0B5" w14:textId="7473B11A" w:rsidR="007A3409" w:rsidRPr="0016625D" w:rsidRDefault="007A3409" w:rsidP="003D2D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Bencana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</w:t>
            </w:r>
          </w:p>
          <w:p w14:paraId="3B1DEA6B" w14:textId="77777777" w:rsidR="007A3409" w:rsidRPr="0016625D" w:rsidRDefault="007A3409" w:rsidP="003D2D04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peringatan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dini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196A648" w14:textId="5DE5A446" w:rsidR="003874FF" w:rsidRPr="0016625D" w:rsidRDefault="007A3409" w:rsidP="003D2D04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tata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evakuasi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pendidikan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upaya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mengurangi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</w:tr>
      <w:tr w:rsidR="0016625D" w:rsidRPr="0016625D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16625D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16625D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16625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16625D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6625D" w:rsidRPr="0016625D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16625D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6FDF0ED" w14:textId="77777777" w:rsidR="007A3409" w:rsidRPr="0016625D" w:rsidRDefault="007A3409" w:rsidP="003D2D04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Bryant, E.A., &amp; Dickenson, K. (2017). Tsunami: The World's Greatest Waves. Cambridge University Press.</w:t>
            </w:r>
          </w:p>
          <w:p w14:paraId="3710A910" w14:textId="77777777" w:rsidR="007A3409" w:rsidRPr="0016625D" w:rsidRDefault="007A3409" w:rsidP="003D2D04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Mader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, G.G. (2017). Tsunami! Catastrophic Coastal Events. Waveland Press.</w:t>
            </w:r>
          </w:p>
          <w:p w14:paraId="08894022" w14:textId="1D28D46E" w:rsidR="00955BAC" w:rsidRPr="0016625D" w:rsidRDefault="007A3409" w:rsidP="003D2D04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Synolakis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, C.E., &amp; Bernard, E.N. (2006). Tsunamis: Causes, Characteristics, Warnings, and Protection. Springer Science &amp; Business Media.</w:t>
            </w:r>
          </w:p>
        </w:tc>
      </w:tr>
      <w:tr w:rsidR="0016625D" w:rsidRPr="0016625D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16625D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16625D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16625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16625D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6625D" w:rsidRPr="0016625D" w14:paraId="3A4F386E" w14:textId="77777777" w:rsidTr="00A3283D">
        <w:trPr>
          <w:trHeight w:val="464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16625D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3B5FD20C" w14:textId="77777777" w:rsidR="006043B2" w:rsidRPr="0016625D" w:rsidRDefault="006043B2" w:rsidP="006043B2">
            <w:pPr>
              <w:pStyle w:val="BodyChar"/>
              <w:tabs>
                <w:tab w:val="clear" w:pos="567"/>
                <w:tab w:val="left" w:pos="294"/>
              </w:tabs>
              <w:ind w:left="294" w:hanging="29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</w:rPr>
              <w:t>Saengsupavanich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</w:rPr>
              <w:t xml:space="preserve">, C., 2012, </w:t>
            </w:r>
            <w:r w:rsidRPr="0016625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Assessing and Mitigating Impacts of Shore Revetment on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</w:rPr>
              <w:t>Neighboring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16625D">
              <w:rPr>
                <w:rFonts w:asciiTheme="minorHAnsi" w:hAnsiTheme="minorHAnsi" w:cstheme="minorHAnsi"/>
                <w:bCs/>
                <w:color w:val="000000" w:themeColor="text1"/>
              </w:rPr>
              <w:t>Coastline,</w:t>
            </w:r>
            <w:r w:rsidRPr="0016625D">
              <w:rPr>
                <w:rFonts w:asciiTheme="minorHAnsi" w:hAnsiTheme="minorHAnsi" w:cstheme="minorHAnsi"/>
                <w:iCs/>
                <w:color w:val="000000" w:themeColor="text1"/>
              </w:rPr>
              <w:t>International</w:t>
            </w:r>
            <w:proofErr w:type="spellEnd"/>
            <w:proofErr w:type="gramEnd"/>
            <w:r w:rsidRPr="0016625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Conference on Environment Science and </w:t>
            </w:r>
            <w:proofErr w:type="spellStart"/>
            <w:r w:rsidRPr="0016625D">
              <w:rPr>
                <w:rFonts w:asciiTheme="minorHAnsi" w:hAnsiTheme="minorHAnsi" w:cstheme="minorHAnsi"/>
                <w:iCs/>
                <w:color w:val="000000" w:themeColor="text1"/>
              </w:rPr>
              <w:t>Engieering</w:t>
            </w:r>
            <w:proofErr w:type="spellEnd"/>
            <w:r w:rsidRPr="0016625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IPCBEE Vol.3 (2), </w:t>
            </w:r>
            <w:proofErr w:type="spellStart"/>
            <w:r w:rsidRPr="0016625D">
              <w:rPr>
                <w:rFonts w:asciiTheme="minorHAnsi" w:hAnsiTheme="minorHAnsi" w:cstheme="minorHAnsi"/>
                <w:iCs/>
                <w:color w:val="000000" w:themeColor="text1"/>
              </w:rPr>
              <w:t>Singapoore</w:t>
            </w:r>
            <w:proofErr w:type="spellEnd"/>
            <w:r w:rsidRPr="0016625D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</w:p>
          <w:p w14:paraId="674AC407" w14:textId="6609F2E5" w:rsidR="005221EE" w:rsidRPr="0016625D" w:rsidRDefault="006043B2" w:rsidP="006043B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16625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2. </w:t>
            </w:r>
            <w:hyperlink r:id="rId9" w:history="1">
              <w:r w:rsidRPr="0016625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Frank C. Lin</w:t>
              </w:r>
            </w:hyperlink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0" w:history="1">
              <w:r w:rsidRPr="0016625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bdr w:val="none" w:sz="0" w:space="0" w:color="auto" w:frame="1"/>
                </w:rPr>
                <w:t xml:space="preserve">George </w:t>
              </w:r>
              <w:proofErr w:type="spellStart"/>
              <w:r w:rsidRPr="0016625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bdr w:val="none" w:sz="0" w:space="0" w:color="auto" w:frame="1"/>
                </w:rPr>
                <w:t>Pararas-Carayannis</w:t>
              </w:r>
              <w:proofErr w:type="spellEnd"/>
            </w:hyperlink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11" w:history="1">
              <w:proofErr w:type="spellStart"/>
              <w:r w:rsidRPr="0016625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Piyarat</w:t>
              </w:r>
              <w:proofErr w:type="spellEnd"/>
              <w:r w:rsidRPr="0016625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6625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Silapasuphakornwong</w:t>
              </w:r>
              <w:proofErr w:type="spellEnd"/>
            </w:hyperlink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2016, </w:t>
            </w:r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Bathymetric Sounding By Remote Sensing Using Electromagnetic Radiation, Science Of Tsunami Hazards Journal Of Tsunami Society International Volume 35 Number 3, 2016</w:t>
            </w:r>
          </w:p>
        </w:tc>
      </w:tr>
      <w:tr w:rsidR="0016625D" w:rsidRPr="0016625D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16625D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126EB3DF" w14:textId="77777777" w:rsidR="006043B2" w:rsidRPr="0016625D" w:rsidRDefault="006043B2" w:rsidP="006043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Dr.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Ir.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Haerany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Sirajuddin, MT.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(D61-HS)</w:t>
            </w:r>
          </w:p>
          <w:p w14:paraId="38DF860E" w14:textId="3BF72C4E" w:rsidR="00A82C4C" w:rsidRPr="0016625D" w:rsidRDefault="006043B2" w:rsidP="006043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Dr.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Ir.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Kaharuddin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., MT.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(D61-KH)</w:t>
            </w:r>
          </w:p>
        </w:tc>
      </w:tr>
      <w:tr w:rsidR="0016625D" w:rsidRPr="0016625D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16625D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6736CA3C" w:rsidR="00AD0718" w:rsidRPr="0016625D" w:rsidRDefault="006043B2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64C6B5DF" w14:textId="77777777" w:rsidR="00A3283D" w:rsidRPr="0016625D" w:rsidRDefault="00A3283D" w:rsidP="009B7DF1">
      <w:pPr>
        <w:rPr>
          <w:color w:val="000000" w:themeColor="text1"/>
        </w:rPr>
        <w:sectPr w:rsidR="00A3283D" w:rsidRPr="0016625D" w:rsidSect="005E467A">
          <w:footerReference w:type="default" r:id="rId12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38DEBC35" w14:textId="77777777" w:rsidR="00A3283D" w:rsidRPr="0016625D" w:rsidRDefault="00A3283D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16625D" w:rsidRPr="0016625D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16625D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16625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16625D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16625D" w:rsidRPr="0016625D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16625D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16625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16625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16625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16625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16625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16625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16625D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16625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16625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16625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16625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16625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16625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16625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16625D" w:rsidRPr="0016625D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16625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16625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1DA660D6" w14:textId="70A001DB" w:rsidR="00B16E79" w:rsidRPr="0016625D" w:rsidRDefault="00B16E79" w:rsidP="00B16E79">
            <w:pPr>
              <w:autoSpaceDE/>
              <w:autoSpaceDN/>
              <w:ind w:left="-99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kejadian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signifikan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seluruh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dunia,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Penyebab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53463B5" w14:textId="5710D919" w:rsidR="00A153D2" w:rsidRPr="0016625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5EAB850" w14:textId="77777777" w:rsidR="00B16E79" w:rsidRPr="0016625D" w:rsidRDefault="00B16E79" w:rsidP="00B16E79">
            <w:pPr>
              <w:autoSpaceDE/>
              <w:autoSpaceDN/>
              <w:ind w:left="-99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kejadian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signifikan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seluruh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dunia.</w:t>
            </w:r>
          </w:p>
          <w:p w14:paraId="68AD93DA" w14:textId="77777777" w:rsidR="00B16E79" w:rsidRPr="0016625D" w:rsidRDefault="00B16E79" w:rsidP="00B16E79">
            <w:pPr>
              <w:autoSpaceDE/>
              <w:autoSpaceDN/>
              <w:ind w:left="-99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Penyebab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aktivitas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tektonik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5E1F205" w14:textId="4574338E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4A283D29" w:rsidR="00A153D2" w:rsidRPr="0016625D" w:rsidRDefault="00443E9E" w:rsidP="00B16E79">
            <w:pPr>
              <w:autoSpaceDE/>
              <w:autoSpaceDN/>
              <w:ind w:left="-99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</w:t>
            </w:r>
            <w:r w:rsidR="00B16E79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ampu m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emahami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Definisi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kejadian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yang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signifikan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seluruh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dunia dan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penyebab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16625D">
              <w:rPr>
                <w:rStyle w:val="fontstyle01"/>
                <w:color w:val="000000" w:themeColor="text1"/>
              </w:rPr>
              <w:t xml:space="preserve"> 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584DE3CD" w14:textId="77777777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16625D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16625D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722576ED" w14:textId="77777777" w:rsidTr="00A153D2">
        <w:tc>
          <w:tcPr>
            <w:tcW w:w="219" w:type="pct"/>
            <w:shd w:val="clear" w:color="auto" w:fill="auto"/>
          </w:tcPr>
          <w:p w14:paraId="2628763E" w14:textId="43712CBE" w:rsidR="00A153D2" w:rsidRPr="0016625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shd w:val="clear" w:color="auto" w:fill="auto"/>
          </w:tcPr>
          <w:p w14:paraId="444C17DC" w14:textId="7447423D" w:rsidR="00A153D2" w:rsidRPr="0016625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7A922DD7" w14:textId="77777777" w:rsidR="00B16E79" w:rsidRPr="0016625D" w:rsidRDefault="00B16E79" w:rsidP="00B16E79">
            <w:pPr>
              <w:autoSpaceDE/>
              <w:autoSpaceDN/>
              <w:ind w:left="-99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lempeng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tengah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dapat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memicu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162A8BF5" w14:textId="6BD45572" w:rsidR="00A153D2" w:rsidRPr="0016625D" w:rsidRDefault="00B16E79" w:rsidP="00B16E79">
            <w:pPr>
              <w:autoSpaceDE/>
              <w:autoSpaceDN/>
              <w:ind w:left="-99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Peran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pergeseran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vertikal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horizontal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  <w:tc>
          <w:tcPr>
            <w:tcW w:w="632" w:type="pct"/>
            <w:shd w:val="clear" w:color="auto" w:fill="auto"/>
          </w:tcPr>
          <w:p w14:paraId="06F8C924" w14:textId="3A921493" w:rsidR="00B16E79" w:rsidRPr="0016625D" w:rsidRDefault="00B16E7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subduksi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lempeng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tengah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dapat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memicu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tsunami, Peran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pergeseran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vertikal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horizontal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58675340" w14:textId="4BDED6C5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481C65B2" w:rsidR="00A153D2" w:rsidRPr="0016625D" w:rsidRDefault="00443E9E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>M</w:t>
            </w:r>
            <w:r w:rsidR="00B16E79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>ampu m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 xml:space="preserve">emahami </w:t>
            </w:r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terjadinya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gempa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bumi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Peran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pergeseran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vertikal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horizontal pada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dasar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laut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4D3265F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B30069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</w:tc>
        <w:tc>
          <w:tcPr>
            <w:tcW w:w="847" w:type="pct"/>
          </w:tcPr>
          <w:p w14:paraId="35710B84" w14:textId="0888208E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4CD39268" w14:textId="77777777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1EA14FE6" w14:textId="77777777" w:rsidTr="00A153D2">
        <w:tc>
          <w:tcPr>
            <w:tcW w:w="219" w:type="pct"/>
            <w:shd w:val="clear" w:color="auto" w:fill="auto"/>
          </w:tcPr>
          <w:p w14:paraId="008881EA" w14:textId="45E8C549" w:rsidR="00A153D2" w:rsidRPr="0016625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  <w:r w:rsidR="00B16E79"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16625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59227F5D" w14:textId="43F22805" w:rsidR="00B16E79" w:rsidRPr="0016625D" w:rsidRDefault="00B16E7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gelombang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amplitudo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kecepatan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perambatan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kedalaman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04356123" w14:textId="0DE55F55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EDC348D" w14:textId="3BF62B79" w:rsidR="00A153D2" w:rsidRPr="0016625D" w:rsidRDefault="00B16E7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gelombang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amplitudo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kecepatan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perambatan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kedalaman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terhadap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perilaku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435CC05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="00443E9E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gelombang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dan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Pengaruh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kedalaman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bentuk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2B971381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B30069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5A81B727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4</w:t>
            </w:r>
          </w:p>
          <w:p w14:paraId="5E650693" w14:textId="77777777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16625D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16625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16625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16625D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16625D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  <w:r w:rsidRPr="0016625D">
              <w:rPr>
                <w:rStyle w:val="fontstyle01"/>
                <w:color w:val="000000" w:themeColor="text1"/>
              </w:rPr>
              <w:t>-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16625D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200DECD9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77E1060E" w14:textId="3B8D4BDE" w:rsidR="00A153D2" w:rsidRPr="0016625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shd w:val="clear" w:color="auto" w:fill="auto"/>
          </w:tcPr>
          <w:p w14:paraId="5BE1CF48" w14:textId="35779A27" w:rsidR="00A153D2" w:rsidRPr="0016625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B16E79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FC502BE" w14:textId="1471B9FD" w:rsidR="00B16E79" w:rsidRPr="0016625D" w:rsidRDefault="00B16E7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Erosi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habitat,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kerusakan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disebabkan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oleh tsunami,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sosial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ekonomi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psikologis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terkena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0EB2353C" w14:textId="19CC2E72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CF0F14B" w14:textId="2A2AA84E" w:rsidR="00B16E79" w:rsidRPr="0016625D" w:rsidRDefault="00B16E79" w:rsidP="00B16E79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Erosi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pantai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habitat,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kerusakan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disebabkan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oleh </w:t>
            </w:r>
            <w:proofErr w:type="spellStart"/>
            <w:proofErr w:type="gram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tsunami,Dampak</w:t>
            </w:r>
            <w:proofErr w:type="spellEnd"/>
            <w:proofErr w:type="gram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sosial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ekonomi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psikologis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terkena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  <w:p w14:paraId="65B0F2DF" w14:textId="1406DE56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1717FD9F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72E212F3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B16E79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B16E79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sosial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ekonomi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psikologis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terkena</w:t>
            </w:r>
            <w:proofErr w:type="spellEnd"/>
            <w:r w:rsidR="00B16E79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0C91E6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2A96BFFB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B30069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1802AEFA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08159304" w14:textId="77777777" w:rsidTr="00A153D2">
        <w:tc>
          <w:tcPr>
            <w:tcW w:w="219" w:type="pct"/>
            <w:shd w:val="clear" w:color="auto" w:fill="auto"/>
          </w:tcPr>
          <w:p w14:paraId="5143F2A9" w14:textId="734E3174" w:rsidR="00A153D2" w:rsidRPr="0016625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12 - 1</w:t>
            </w:r>
            <w:r w:rsidR="00B16E79"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416470BB" w14:textId="197C5EF0" w:rsidR="00A153D2" w:rsidRPr="0016625D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B16E79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D8DF806" w14:textId="77777777" w:rsidR="007F0DAE" w:rsidRPr="0016625D" w:rsidRDefault="007F0DAE" w:rsidP="007F0DAE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peringatan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dini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6C10F38" w14:textId="1A70BC13" w:rsidR="00A153D2" w:rsidRPr="0016625D" w:rsidRDefault="007F0DAE" w:rsidP="007F0DAE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tata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evakuasi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pendidikan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upaya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mengurangi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  <w:tc>
          <w:tcPr>
            <w:tcW w:w="632" w:type="pct"/>
            <w:shd w:val="clear" w:color="auto" w:fill="auto"/>
          </w:tcPr>
          <w:p w14:paraId="71EBD9B9" w14:textId="77777777" w:rsidR="007F0DAE" w:rsidRPr="0016625D" w:rsidRDefault="007F0DAE" w:rsidP="007F0DAE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Sistem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peringatan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dini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771984F" w14:textId="000C9096" w:rsidR="00A153D2" w:rsidRPr="0016625D" w:rsidRDefault="007F0DAE" w:rsidP="007F0DAE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tata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pesisir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evakuasi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pendidikan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masyarakat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upaya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mengurangi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dampak</w:t>
            </w:r>
            <w:proofErr w:type="spellEnd"/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tsunami.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67795BFE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7F0DAE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7F0DAE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Sistem</w:t>
            </w:r>
            <w:proofErr w:type="spellEnd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peringatan</w:t>
            </w:r>
            <w:proofErr w:type="spellEnd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dini</w:t>
            </w:r>
            <w:proofErr w:type="spellEnd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pemodelan</w:t>
            </w:r>
            <w:proofErr w:type="spellEnd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tsunami </w:t>
            </w:r>
            <w:proofErr w:type="spellStart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mitigasi</w:t>
            </w:r>
            <w:proofErr w:type="spellEnd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7F0DAE" w:rsidRPr="0016625D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7F0DAE"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67E0135" w14:textId="61D59551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B011489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33BA08E4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B30069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78768C96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01BB08F0" w14:textId="77777777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16625D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16625D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098CECB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6625D" w:rsidRPr="0016625D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16625D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16625D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16625D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16625D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16625D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6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16625D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62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1662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6625D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16625D" w:rsidRDefault="00A153D2" w:rsidP="003D2D04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 lima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16625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A153D2" w:rsidRPr="0016625D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16625D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6625D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662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16625D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16625D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Pr="0016625D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16625D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16625D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1662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Rubrik </w:t>
      </w:r>
      <w:proofErr w:type="spellStart"/>
      <w:r w:rsidRPr="001662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6625D" w:rsidRPr="0016625D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16625D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16625D" w:rsidRPr="0016625D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16625D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16625D" w:rsidRPr="0016625D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16625D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16625D" w:rsidRPr="0016625D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16625D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16625D" w:rsidRPr="0016625D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16625D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16625D" w:rsidRPr="0016625D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16625D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16625D" w:rsidRPr="0016625D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16625D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16625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6625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16625D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16625D">
        <w:rPr>
          <w:noProof/>
          <w:color w:val="000000" w:themeColor="text1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153D2" w:rsidRPr="0016625D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27DD" w14:textId="77777777" w:rsidR="000E78E1" w:rsidRDefault="000E78E1">
      <w:r>
        <w:separator/>
      </w:r>
    </w:p>
  </w:endnote>
  <w:endnote w:type="continuationSeparator" w:id="0">
    <w:p w14:paraId="2AE37442" w14:textId="77777777" w:rsidR="000E78E1" w:rsidRDefault="000E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BF36" w14:textId="77777777" w:rsidR="000E78E1" w:rsidRDefault="000E78E1">
      <w:r>
        <w:separator/>
      </w:r>
    </w:p>
  </w:footnote>
  <w:footnote w:type="continuationSeparator" w:id="0">
    <w:p w14:paraId="1A841F79" w14:textId="77777777" w:rsidR="000E78E1" w:rsidRDefault="000E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748"/>
    <w:multiLevelType w:val="multilevel"/>
    <w:tmpl w:val="7D20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D6ED8"/>
    <w:multiLevelType w:val="multilevel"/>
    <w:tmpl w:val="30720A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41A8"/>
    <w:multiLevelType w:val="multilevel"/>
    <w:tmpl w:val="F8964F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A116D"/>
    <w:multiLevelType w:val="hybridMultilevel"/>
    <w:tmpl w:val="BBB81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D9A"/>
    <w:multiLevelType w:val="multilevel"/>
    <w:tmpl w:val="907680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17596"/>
    <w:multiLevelType w:val="multilevel"/>
    <w:tmpl w:val="5B88E0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81637"/>
    <w:multiLevelType w:val="multilevel"/>
    <w:tmpl w:val="3E70B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487751">
    <w:abstractNumId w:val="2"/>
  </w:num>
  <w:num w:numId="2" w16cid:durableId="765736679">
    <w:abstractNumId w:val="4"/>
  </w:num>
  <w:num w:numId="3" w16cid:durableId="1740706456">
    <w:abstractNumId w:val="0"/>
  </w:num>
  <w:num w:numId="4" w16cid:durableId="1443571423">
    <w:abstractNumId w:val="1"/>
  </w:num>
  <w:num w:numId="5" w16cid:durableId="139882809">
    <w:abstractNumId w:val="5"/>
  </w:num>
  <w:num w:numId="6" w16cid:durableId="1956061679">
    <w:abstractNumId w:val="3"/>
  </w:num>
  <w:num w:numId="7" w16cid:durableId="1369794522">
    <w:abstractNumId w:val="6"/>
  </w:num>
  <w:num w:numId="8" w16cid:durableId="106452834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0DA5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C07BB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8E1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625D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7EC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342B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A3"/>
    <w:rsid w:val="003C79D3"/>
    <w:rsid w:val="003D0128"/>
    <w:rsid w:val="003D1937"/>
    <w:rsid w:val="003D1BD3"/>
    <w:rsid w:val="003D2D04"/>
    <w:rsid w:val="003D33D2"/>
    <w:rsid w:val="003D403B"/>
    <w:rsid w:val="003D65DA"/>
    <w:rsid w:val="003E0471"/>
    <w:rsid w:val="003E18A8"/>
    <w:rsid w:val="003E1B1F"/>
    <w:rsid w:val="003E4759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B69AC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3C9D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27A05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3FAA"/>
    <w:rsid w:val="006043B2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1A6E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340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0DAE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2CC1"/>
    <w:rsid w:val="008C4D57"/>
    <w:rsid w:val="008C5ACD"/>
    <w:rsid w:val="008D0FD9"/>
    <w:rsid w:val="008D1D63"/>
    <w:rsid w:val="008D26BE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3283D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4B2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16E79"/>
    <w:rsid w:val="00B17093"/>
    <w:rsid w:val="00B2186D"/>
    <w:rsid w:val="00B23AC0"/>
    <w:rsid w:val="00B2446B"/>
    <w:rsid w:val="00B245B8"/>
    <w:rsid w:val="00B26866"/>
    <w:rsid w:val="00B30069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2227"/>
    <w:rsid w:val="00B95C6C"/>
    <w:rsid w:val="00BA011E"/>
    <w:rsid w:val="00BA1CB8"/>
    <w:rsid w:val="00BA2297"/>
    <w:rsid w:val="00BA5C49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1168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B80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88B"/>
    <w:rsid w:val="00F63955"/>
    <w:rsid w:val="00F6653B"/>
    <w:rsid w:val="00F71786"/>
    <w:rsid w:val="00F75E1F"/>
    <w:rsid w:val="00F75F2D"/>
    <w:rsid w:val="00F81B04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customStyle="1" w:styleId="BodyChar">
    <w:name w:val="Body Char"/>
    <w:link w:val="BodyCharChar"/>
    <w:rsid w:val="006043B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6043B2"/>
    <w:rPr>
      <w:rFonts w:ascii="Times" w:hAnsi="Times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Piyarat_Silapasuphakornwo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George_Pararas-Carayan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Frank_Lin9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9843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13</cp:revision>
  <cp:lastPrinted>2000-08-06T21:38:00Z</cp:lastPrinted>
  <dcterms:created xsi:type="dcterms:W3CDTF">2023-06-02T08:39:00Z</dcterms:created>
  <dcterms:modified xsi:type="dcterms:W3CDTF">2023-06-24T02:40:00Z</dcterms:modified>
  <cp:category>Kurikulum;Document;Draft</cp:category>
  <cp:contentStatus>RPS Mata Kuliah</cp:contentStatus>
</cp:coreProperties>
</file>