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A65F9E" w:rsidRPr="00A65F9E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A65F9E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A65F9E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A65F9E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A65F9E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A65F9E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A65F9E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Kode </w:t>
            </w: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6769A6DB" w:rsidR="005C530D" w:rsidRPr="00A65F9E" w:rsidRDefault="00AD507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SW-D611-54</w:t>
            </w:r>
          </w:p>
        </w:tc>
      </w:tr>
      <w:tr w:rsidR="00A65F9E" w:rsidRPr="00A65F9E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A65F9E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A65F9E" w:rsidRPr="00A65F9E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A65F9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A65F9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A65F9E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A65F9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A65F9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A65F9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A65F9E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A65F9E" w:rsidRPr="00A65F9E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16B53037" w:rsidR="00D8412B" w:rsidRPr="00A65F9E" w:rsidRDefault="00AD5078" w:rsidP="00D8412B">
            <w:pPr>
              <w:jc w:val="center"/>
              <w:rPr>
                <w:rFonts w:ascii="Calibri" w:hAnsi="Calibri"/>
                <w:bCs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Geologi Kepulauan Spermonde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377B9E27" w:rsidR="00D8412B" w:rsidRPr="00A65F9E" w:rsidRDefault="00AD5078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21D06132902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15B1DB7B" w:rsidR="00D8412B" w:rsidRPr="00A65F9E" w:rsidRDefault="008D26BE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A65F9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="Calibri" w:hAnsi="Calibr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A65F9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/>
                <w:color w:val="000000" w:themeColor="text1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A65F9E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A65F9E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7DE30054" w:rsidR="00D8412B" w:rsidRPr="00A65F9E" w:rsidRDefault="00AD5078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A65F9E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A65F9E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A65F9E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A65F9E" w:rsidRPr="00A65F9E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A65F9E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A65F9E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A65F9E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A65F9E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65F9E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A65F9E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A65F9E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A65F9E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A65F9E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A65F9E" w:rsidRPr="00A65F9E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A65F9E" w:rsidRDefault="00FD6E98" w:rsidP="00FD6E9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3458D1F4" w:rsidR="00FD6E98" w:rsidRPr="00A65F9E" w:rsidRDefault="00AD5078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</w:t>
            </w: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M.Imran</w:t>
            </w:r>
            <w:proofErr w:type="spellEnd"/>
            <w:proofErr w:type="gram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75C217B5" w:rsidR="00FD6E98" w:rsidRPr="00A65F9E" w:rsidRDefault="00AD5078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 M. Imran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A65F9E" w:rsidRDefault="002330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A65F9E" w:rsidRPr="00A65F9E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A65F9E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A65F9E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A65F9E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A65F9E" w:rsidRPr="00A65F9E" w14:paraId="0F7CA20F" w14:textId="77777777" w:rsidTr="003C79A3">
        <w:trPr>
          <w:trHeight w:val="1229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A65F9E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2D2736EE" w:rsidR="002330BE" w:rsidRPr="00A65F9E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="004B69AC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A65F9E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D68855F" w14:textId="77777777" w:rsidR="00AD5078" w:rsidRDefault="00AD507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FC11801" w14:textId="77777777" w:rsidR="00D57868" w:rsidRPr="00A65F9E" w:rsidRDefault="00D5786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0FED6C8" w14:textId="77777777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CP-7</w:t>
            </w:r>
          </w:p>
          <w:p w14:paraId="77D4CD80" w14:textId="77777777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0BC7625A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7475E258" w14:textId="205BDCC8" w:rsidR="002330BE" w:rsidRDefault="00D57868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beserta</w:t>
            </w:r>
            <w:proofErr w:type="spellEnd"/>
            <w:proofErr w:type="gram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menyusun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membentuk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bumi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C9202EE" w14:textId="77777777" w:rsidR="00D57868" w:rsidRDefault="00D57868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403823" w14:textId="77777777" w:rsidR="00D57868" w:rsidRPr="00A65F9E" w:rsidRDefault="00D57868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D1E93" w14:textId="1BA10028" w:rsidR="003C79A3" w:rsidRPr="00A65F9E" w:rsidRDefault="003C79A3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memecahkan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muncul</w:t>
            </w:r>
            <w:proofErr w:type="spellEnd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="00D57868"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3CD57596" w14:textId="5E940554" w:rsidR="002330BE" w:rsidRPr="00A65F9E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249FB80C" w14:textId="01427651" w:rsidR="00AD5078" w:rsidRPr="00A65F9E" w:rsidRDefault="00AD507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6</w:t>
            </w:r>
          </w:p>
          <w:p w14:paraId="57C35931" w14:textId="77777777" w:rsidR="004B69AC" w:rsidRDefault="004B69A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D855E9A" w14:textId="77777777" w:rsidR="00D57868" w:rsidRPr="00A65F9E" w:rsidRDefault="00D5786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3F88A9C" w14:textId="77777777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KK4</w:t>
            </w:r>
          </w:p>
          <w:p w14:paraId="2C0B88FD" w14:textId="6AAAA87A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2423F0DD" w14:textId="5B669042" w:rsidR="004B69AC" w:rsidRPr="00A65F9E" w:rsidRDefault="00D57868" w:rsidP="004B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mengeidentifikasi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proofErr w:type="gramEnd"/>
          </w:p>
          <w:p w14:paraId="7BB02110" w14:textId="4930F946" w:rsidR="008D26BE" w:rsidRPr="00A65F9E" w:rsidRDefault="00D57868" w:rsidP="004B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proyeksi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penalaran</w:t>
            </w:r>
            <w:proofErr w:type="spellEnd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78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ilmiah</w:t>
            </w:r>
            <w:proofErr w:type="spellEnd"/>
            <w:proofErr w:type="gramEnd"/>
          </w:p>
          <w:p w14:paraId="0B4C348C" w14:textId="77777777" w:rsidR="003C79A3" w:rsidRPr="00A65F9E" w:rsidRDefault="003C79A3" w:rsidP="004B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9D03B5" w14:textId="1DC29AD5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laut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tektonik</w:t>
            </w:r>
            <w:proofErr w:type="spellEnd"/>
          </w:p>
          <w:p w14:paraId="26A47DD9" w14:textId="7B14DE8C" w:rsidR="003C79A3" w:rsidRPr="00A65F9E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A65F9E" w:rsidRPr="00A65F9E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A65F9E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A65F9E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A65F9E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431E2BDE" w14:textId="77777777" w:rsidTr="008D26BE">
        <w:trPr>
          <w:trHeight w:val="754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A65F9E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A65F9E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756C7E98" w14:textId="77777777" w:rsidR="00ED3002" w:rsidRPr="00A65F9E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548EA54F" w14:textId="2C735BF6" w:rsidR="006B530E" w:rsidRPr="00A65F9E" w:rsidRDefault="006B530E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77C08C61" w14:textId="5FD15B8C" w:rsidR="006B530E" w:rsidRPr="00A65F9E" w:rsidRDefault="006B530E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2CC23515" w:rsidR="006B530E" w:rsidRPr="00A65F9E" w:rsidRDefault="006B530E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075D1A0D" w14:textId="5ED9A02B" w:rsidR="006B530E" w:rsidRPr="00A65F9E" w:rsidRDefault="006B530E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aspek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geodinamikanya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19BD24DD" w14:textId="20AE6EB4" w:rsidR="006B530E" w:rsidRPr="00A65F9E" w:rsidRDefault="006B530E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Mengenali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083BF859" w14:textId="117716B2" w:rsidR="006B530E" w:rsidRPr="00A65F9E" w:rsidRDefault="006B530E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menjelaskan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sedimentasi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proses </w:t>
            </w:r>
            <w:proofErr w:type="spellStart"/>
            <w:proofErr w:type="gram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proofErr w:type="gram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1C2B9721" w14:textId="4F519571" w:rsidR="009A01D1" w:rsidRPr="00A65F9E" w:rsidRDefault="009A01D1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wilayah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merumuskan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</w:p>
          <w:p w14:paraId="7FB31B6F" w14:textId="07DF02B2" w:rsidR="006B530E" w:rsidRPr="00A65F9E" w:rsidRDefault="006B530E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Menganalisis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  <w:p w14:paraId="7C6ECCDE" w14:textId="7CB2B9C3" w:rsidR="00B6767D" w:rsidRPr="00A65F9E" w:rsidRDefault="00B6767D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53AE6F1D" w14:textId="77777777" w:rsidR="009A01D1" w:rsidRPr="00A65F9E" w:rsidRDefault="009A01D1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4CAB4EA8" w14:textId="77777777" w:rsidR="009A01D1" w:rsidRPr="00A65F9E" w:rsidRDefault="009A01D1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79D34A5D" w14:textId="77777777" w:rsidR="009A01D1" w:rsidRPr="00A65F9E" w:rsidRDefault="009A01D1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4A733152" w14:textId="77777777" w:rsidR="009A01D1" w:rsidRPr="00A65F9E" w:rsidRDefault="009A01D1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6A43B907" w14:textId="39D8BA63" w:rsidR="009A01D1" w:rsidRPr="00A65F9E" w:rsidRDefault="009A01D1" w:rsidP="006B530E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</w:tc>
      </w:tr>
      <w:tr w:rsidR="00A65F9E" w:rsidRPr="00A65F9E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A65F9E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A65F9E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A65F9E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22C7752C" w14:textId="77777777" w:rsidTr="006B530E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004BAF90" w14:textId="1312931E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1]</w:t>
            </w:r>
          </w:p>
          <w:p w14:paraId="4AA2A0B8" w14:textId="5BFC7CDF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4F628A" w14:textId="77777777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9ADD1C" w14:textId="0083EE5A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2]</w:t>
            </w:r>
          </w:p>
          <w:p w14:paraId="605B983C" w14:textId="34EC1E16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4AFA72" w14:textId="1476DA0F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98217B" w14:textId="1D492FB9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B87CFD" w14:textId="77777777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21650C" w14:textId="0F9FB2E8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3]</w:t>
            </w:r>
          </w:p>
          <w:p w14:paraId="7C9F1C35" w14:textId="7F0A2AB7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15AC49" w14:textId="0E7F4576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2CB98B" w14:textId="77777777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596B09" w14:textId="77777777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1171A0" w14:textId="5BE473C8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4]</w:t>
            </w:r>
          </w:p>
          <w:p w14:paraId="663AA28F" w14:textId="727B3F28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32E15B" w14:textId="23FC5BC4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5943D9" w14:textId="328CA6E9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EC12A2" w14:textId="7393B075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57005" w14:textId="77777777" w:rsidR="00A545DB" w:rsidRPr="00A65F9E" w:rsidRDefault="00A545DB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07CEDF" w14:textId="77777777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5]</w:t>
            </w:r>
          </w:p>
          <w:p w14:paraId="1D981CF3" w14:textId="77777777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0EF7FD" w14:textId="7AA6281E" w:rsidR="00D412C0" w:rsidRPr="00A65F9E" w:rsidRDefault="00D412C0" w:rsidP="006B530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66538FF7" w14:textId="78AF7F42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lokasi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luas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geografis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[P6]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CPMK-1)</w:t>
            </w:r>
          </w:p>
          <w:p w14:paraId="2EC6E58D" w14:textId="18E2372D" w:rsidR="006B530E" w:rsidRPr="00A65F9E" w:rsidRDefault="006B530E" w:rsidP="006B530E">
            <w:pPr>
              <w:autoSpaceDE/>
              <w:autoSpaceDN/>
              <w:ind w:left="-33"/>
              <w:textAlignment w:val="baseline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pengaruhnya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[P6]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CPMK-1)</w:t>
            </w:r>
          </w:p>
          <w:p w14:paraId="396B8ACC" w14:textId="01CC820E" w:rsidR="006B7279" w:rsidRPr="00A65F9E" w:rsidRDefault="006B7279" w:rsidP="006B530E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03C1463A" w14:textId="77777777" w:rsidR="00761E02" w:rsidRPr="00A65F9E" w:rsidRDefault="00761E02" w:rsidP="00761E02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metamorf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[P7]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CPMK-3)</w:t>
            </w:r>
          </w:p>
          <w:p w14:paraId="28AFC85C" w14:textId="41A1B27E" w:rsidR="00761E02" w:rsidRPr="00A65F9E" w:rsidRDefault="00761E02" w:rsidP="00761E02">
            <w:pPr>
              <w:autoSpaceDE/>
              <w:autoSpaceDN/>
              <w:ind w:left="-33"/>
              <w:textAlignment w:val="baseline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asal-usul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mengindikasikan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paleo-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[P7]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CPMK-3)</w:t>
            </w:r>
          </w:p>
          <w:p w14:paraId="73495A4C" w14:textId="6019FD3C" w:rsidR="00A545DB" w:rsidRPr="00A65F9E" w:rsidRDefault="00A545DB" w:rsidP="00761E02">
            <w:pPr>
              <w:autoSpaceDE/>
              <w:autoSpaceDN/>
              <w:ind w:left="-33"/>
              <w:textAlignment w:val="baseline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86570EC" w14:textId="77777777" w:rsidR="00A545DB" w:rsidRPr="00A65F9E" w:rsidRDefault="00A545DB" w:rsidP="00A545DB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vulkanisme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sedimentasi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pergerakan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(CP-7) [KK4]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CPMK-4)</w:t>
            </w:r>
          </w:p>
          <w:p w14:paraId="6014C8BA" w14:textId="1D468722" w:rsidR="00A545DB" w:rsidRPr="00A65F9E" w:rsidRDefault="00A545DB" w:rsidP="00A545DB">
            <w:pPr>
              <w:autoSpaceDE/>
              <w:autoSpaceDN/>
              <w:ind w:left="-33"/>
              <w:textAlignment w:val="baseline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sepanjang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(CP-7) [KK4]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CPMK-4)</w:t>
            </w:r>
          </w:p>
          <w:p w14:paraId="35BAD75A" w14:textId="77777777" w:rsidR="00A545DB" w:rsidRPr="00A65F9E" w:rsidRDefault="00A545DB" w:rsidP="00A545DB">
            <w:pPr>
              <w:autoSpaceDE/>
              <w:autoSpaceDN/>
              <w:ind w:left="-33"/>
              <w:textAlignment w:val="baseline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DA5FC00" w14:textId="77777777" w:rsidR="00761E02" w:rsidRPr="00A65F9E" w:rsidRDefault="00761E02" w:rsidP="006B530E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30B85A4F" w14:textId="06F2B3F6" w:rsidR="006B530E" w:rsidRPr="00A65F9E" w:rsidRDefault="006B530E" w:rsidP="006B530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lipatan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sesar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zona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[P6]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CPMK-2)</w:t>
            </w:r>
          </w:p>
          <w:p w14:paraId="2B6D66A9" w14:textId="6DB87897" w:rsidR="006B530E" w:rsidRPr="00A65F9E" w:rsidRDefault="006B530E" w:rsidP="006B530E">
            <w:pPr>
              <w:autoSpaceDE/>
              <w:autoSpaceDN/>
              <w:ind w:left="-33"/>
              <w:textAlignment w:val="baseline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geodinamika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[P6] (</w:t>
            </w:r>
            <w:r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CPMK-2)</w:t>
            </w:r>
          </w:p>
          <w:p w14:paraId="61046F6D" w14:textId="77777777" w:rsidR="006B7279" w:rsidRPr="00A65F9E" w:rsidRDefault="006B7279" w:rsidP="00761E02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1113A6D7" w14:textId="77777777" w:rsidR="006B7279" w:rsidRPr="00A65F9E" w:rsidRDefault="006B7279" w:rsidP="006B530E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6129DB59" w14:textId="38A21D97" w:rsidR="006B530E" w:rsidRPr="00A65F9E" w:rsidRDefault="002E143C" w:rsidP="006B530E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</w:t>
            </w:r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eterkaitan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daratan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(CP-4) [KK4] (</w:t>
            </w:r>
            <w:r w:rsidR="006B530E"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CPMK-5)</w:t>
            </w:r>
          </w:p>
          <w:p w14:paraId="0193EBBD" w14:textId="20748C5D" w:rsidR="00AD0718" w:rsidRPr="00A65F9E" w:rsidRDefault="002E143C" w:rsidP="006B530E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</w:t>
            </w:r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otensi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daya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minyak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gas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mineral, dan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hayati</w:t>
            </w:r>
            <w:proofErr w:type="spellEnd"/>
            <w:r w:rsidR="006B530E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(CP-4) [KK4] (</w:t>
            </w:r>
            <w:r w:rsidR="006B530E" w:rsidRPr="00A65F9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CPMK-5)</w:t>
            </w:r>
          </w:p>
        </w:tc>
      </w:tr>
      <w:tr w:rsidR="00A65F9E" w:rsidRPr="00A65F9E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58450057" w:rsidR="00AD0718" w:rsidRPr="00A65F9E" w:rsidRDefault="000F1130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Mata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bertujuan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memberikan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mendalam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perkembangan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mempelajari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aspek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aspek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serta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sumber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alam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di wilayah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tersebut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65F9E" w:rsidRPr="00A65F9E" w14:paraId="2B75DF7D" w14:textId="77777777" w:rsidTr="009E6045">
        <w:trPr>
          <w:trHeight w:val="410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A65F9E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1A23CE3" w14:textId="5DEF6ED6" w:rsidR="000F1130" w:rsidRPr="00A65F9E" w:rsidRDefault="000F1130" w:rsidP="008528BC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</w:p>
          <w:p w14:paraId="18068D3C" w14:textId="77777777" w:rsidR="000F1130" w:rsidRPr="00A65F9E" w:rsidRDefault="000F1130" w:rsidP="008528BC">
            <w:pPr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Lokasi,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luas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geografis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E64F630" w14:textId="77777777" w:rsidR="000F1130" w:rsidRPr="00A65F9E" w:rsidRDefault="000F1130" w:rsidP="008528BC">
            <w:pPr>
              <w:numPr>
                <w:ilvl w:val="0"/>
                <w:numId w:val="2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Sejarah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pengaruhnya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12455C8B" w14:textId="569B82C9" w:rsidR="000F1130" w:rsidRPr="00A65F9E" w:rsidRDefault="000F1130" w:rsidP="008528BC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</w:p>
          <w:p w14:paraId="09FBF074" w14:textId="77777777" w:rsidR="000F1130" w:rsidRPr="00A65F9E" w:rsidRDefault="000F1130" w:rsidP="008528BC">
            <w:pPr>
              <w:numPr>
                <w:ilvl w:val="0"/>
                <w:numId w:val="3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lipatan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sesar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zona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1444F36" w14:textId="77777777" w:rsidR="000F1130" w:rsidRPr="00A65F9E" w:rsidRDefault="000F1130" w:rsidP="008528BC">
            <w:pPr>
              <w:numPr>
                <w:ilvl w:val="0"/>
                <w:numId w:val="3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geodinamika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549F7F84" w14:textId="2832C9D9" w:rsidR="000F1130" w:rsidRPr="00A65F9E" w:rsidRDefault="000F1130" w:rsidP="008528BC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Batuan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</w:p>
          <w:p w14:paraId="05EBCDF0" w14:textId="77777777" w:rsidR="000F1130" w:rsidRPr="00A65F9E" w:rsidRDefault="000F1130" w:rsidP="008528BC">
            <w:pPr>
              <w:numPr>
                <w:ilvl w:val="0"/>
                <w:numId w:val="4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metamorf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24821A4" w14:textId="77777777" w:rsidR="000F1130" w:rsidRPr="00A65F9E" w:rsidRDefault="000F1130" w:rsidP="008528BC">
            <w:pPr>
              <w:numPr>
                <w:ilvl w:val="0"/>
                <w:numId w:val="4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asal-usul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mengindikasikan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paleo-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43F65EB" w14:textId="7B5671C0" w:rsidR="000F1130" w:rsidRPr="00A65F9E" w:rsidRDefault="000F1130" w:rsidP="008528BC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</w:p>
          <w:p w14:paraId="6F35E44D" w14:textId="77777777" w:rsidR="000F1130" w:rsidRPr="00A65F9E" w:rsidRDefault="000F1130" w:rsidP="008528BC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vulkanisme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sedimentasi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pergerakan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1844873" w14:textId="77777777" w:rsidR="000F1130" w:rsidRPr="00A65F9E" w:rsidRDefault="000F1130" w:rsidP="008528BC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sepanjang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ADC1B99" w14:textId="6DE5C27F" w:rsidR="000F1130" w:rsidRPr="00A65F9E" w:rsidRDefault="000F1130" w:rsidP="008528BC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Daya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</w:p>
          <w:p w14:paraId="791BA2C8" w14:textId="77777777" w:rsidR="000F1130" w:rsidRPr="00A65F9E" w:rsidRDefault="000F1130" w:rsidP="008528BC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Keterkaitan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daratan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196A648" w14:textId="58A51A16" w:rsidR="000F1130" w:rsidRPr="00A65F9E" w:rsidRDefault="000F1130" w:rsidP="008528BC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gas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mineral,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hayati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</w:tr>
      <w:tr w:rsidR="00A65F9E" w:rsidRPr="00A65F9E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A65F9E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A65F9E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65F9E" w:rsidRPr="00A65F9E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08894022" w14:textId="79DEC325" w:rsidR="00955BAC" w:rsidRPr="00A65F9E" w:rsidRDefault="000F1130" w:rsidP="000F1130">
            <w:p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65F9E" w:rsidRPr="00A65F9E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A65F9E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A65F9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A65F9E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F9E" w:rsidRPr="00A65F9E" w14:paraId="3A4F386E" w14:textId="77777777" w:rsidTr="009E6045">
        <w:trPr>
          <w:trHeight w:val="274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A65F9E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2ECCE718" w:rsidR="005221EE" w:rsidRPr="00A65F9E" w:rsidRDefault="009E6045" w:rsidP="006043B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-</w:t>
            </w:r>
          </w:p>
        </w:tc>
      </w:tr>
      <w:tr w:rsidR="00A65F9E" w:rsidRPr="00A65F9E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126EB3DF" w14:textId="77777777" w:rsidR="006043B2" w:rsidRPr="00A65F9E" w:rsidRDefault="006043B2" w:rsidP="006043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Dr.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Ir.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Haerany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Sirajuddin, MT.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(D61-HS)</w:t>
            </w:r>
          </w:p>
          <w:p w14:paraId="38DF860E" w14:textId="3BF72C4E" w:rsidR="00A82C4C" w:rsidRPr="00A65F9E" w:rsidRDefault="006043B2" w:rsidP="006043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Dr.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Ir.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Kaharuddin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., MT.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(D61-KH)</w:t>
            </w:r>
          </w:p>
        </w:tc>
      </w:tr>
      <w:tr w:rsidR="00A65F9E" w:rsidRPr="00A65F9E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A65F9E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6736CA3C" w:rsidR="00AD0718" w:rsidRPr="00A65F9E" w:rsidRDefault="006043B2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64C6B5DF" w14:textId="77777777" w:rsidR="00A3283D" w:rsidRPr="00A65F9E" w:rsidRDefault="00A3283D" w:rsidP="009B7DF1">
      <w:pPr>
        <w:rPr>
          <w:color w:val="000000" w:themeColor="text1"/>
        </w:rPr>
        <w:sectPr w:rsidR="00A3283D" w:rsidRPr="00A65F9E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38DEBC35" w14:textId="77777777" w:rsidR="00A3283D" w:rsidRPr="00A65F9E" w:rsidRDefault="00A3283D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A65F9E" w:rsidRPr="00A65F9E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A65F9E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A65F9E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A65F9E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A65F9E" w:rsidRPr="00A65F9E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A65F9E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A65F9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A65F9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A65F9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A65F9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A65F9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A65F9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A65F9E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A65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A65F9E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A65F9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A65F9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A65F9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A65F9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A65F9E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A65F9E" w:rsidRPr="00A65F9E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A65F9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653463B5" w14:textId="1B7CB72B" w:rsidR="00A153D2" w:rsidRPr="00A65F9E" w:rsidRDefault="00305791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lokasi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luas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geografis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mampu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pengaruhnya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25E1F205" w14:textId="4766C7B8" w:rsidR="00A153D2" w:rsidRPr="00A65F9E" w:rsidRDefault="00305791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lokasi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luas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geografis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mampu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pengaruhnya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4BDC225A" w:rsidR="00A153D2" w:rsidRPr="00A65F9E" w:rsidRDefault="0030579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lokasi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luas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geografis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A65F9E">
              <w:rPr>
                <w:rStyle w:val="fontstyle01"/>
                <w:color w:val="000000" w:themeColor="text1"/>
              </w:rPr>
              <w:t xml:space="preserve"> 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584DE3CD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A65F9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A65F9E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722576ED" w14:textId="77777777" w:rsidTr="00A153D2">
        <w:tc>
          <w:tcPr>
            <w:tcW w:w="219" w:type="pct"/>
            <w:shd w:val="clear" w:color="auto" w:fill="auto"/>
          </w:tcPr>
          <w:p w14:paraId="2628763E" w14:textId="43712CBE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shd w:val="clear" w:color="auto" w:fill="auto"/>
          </w:tcPr>
          <w:p w14:paraId="444C17DC" w14:textId="7447423D" w:rsidR="00A153D2" w:rsidRPr="00A65F9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162A8BF5" w14:textId="76874704" w:rsidR="00A153D2" w:rsidRPr="00A65F9E" w:rsidRDefault="00305791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metamorf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asal-usul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mengindikasikan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paleo-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58675340" w14:textId="39A977D5" w:rsidR="00A153D2" w:rsidRPr="00A65F9E" w:rsidRDefault="00305791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metamorf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asal-usul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mengindikasikan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paleo-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1FE302E2" w:rsidR="00A153D2" w:rsidRPr="00A65F9E" w:rsidRDefault="00305791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asal-usul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fasies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mengindikasikan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kondisi</w:t>
            </w:r>
            <w:proofErr w:type="spellEnd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paleo-</w:t>
            </w:r>
            <w:proofErr w:type="spellStart"/>
            <w:r w:rsidR="004F4E89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377C146C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1351D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</w:tc>
        <w:tc>
          <w:tcPr>
            <w:tcW w:w="847" w:type="pct"/>
          </w:tcPr>
          <w:p w14:paraId="35710B84" w14:textId="0888208E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4CD39268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1EA14FE6" w14:textId="77777777" w:rsidTr="00A153D2">
        <w:tc>
          <w:tcPr>
            <w:tcW w:w="219" w:type="pct"/>
            <w:shd w:val="clear" w:color="auto" w:fill="auto"/>
          </w:tcPr>
          <w:p w14:paraId="008881EA" w14:textId="10761998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  <w:r w:rsidR="004F4E89"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A65F9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04356123" w14:textId="1ECB4F3F" w:rsidR="00A153D2" w:rsidRPr="00A65F9E" w:rsidRDefault="004F4E89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vulkanisme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sedimentasi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pergerakan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sepanjang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</w:p>
        </w:tc>
        <w:tc>
          <w:tcPr>
            <w:tcW w:w="632" w:type="pct"/>
            <w:shd w:val="clear" w:color="auto" w:fill="auto"/>
          </w:tcPr>
          <w:p w14:paraId="0EDC348D" w14:textId="78E76284" w:rsidR="00A153D2" w:rsidRPr="00A65F9E" w:rsidRDefault="004F4E89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vulkanisme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sedimentasi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pergerakan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sepanjang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geologis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4F51309" w14:textId="77777777" w:rsidR="004F4E89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="00443E9E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memahami</w:t>
            </w:r>
          </w:p>
          <w:p w14:paraId="766C3609" w14:textId="08E809ED" w:rsidR="00A153D2" w:rsidRPr="00A65F9E" w:rsidRDefault="004F4E89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vulkanisme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sedimentasi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pergerakan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="00443E9E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5C1038D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1351D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5A81B727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4</w:t>
            </w:r>
          </w:p>
          <w:p w14:paraId="5E650693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A65F9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A65F9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A65F9E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A65F9E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  <w:r w:rsidRPr="00A65F9E">
              <w:rPr>
                <w:rStyle w:val="fontstyle01"/>
                <w:color w:val="000000" w:themeColor="text1"/>
              </w:rPr>
              <w:t>-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A65F9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2AD2607A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</w:t>
            </w:r>
            <w:r w:rsidR="004F4E89"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14:paraId="5BE1CF48" w14:textId="54283D22" w:rsidR="00A153D2" w:rsidRPr="00A65F9E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4F4E89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EB2353C" w14:textId="1BE3B835" w:rsidR="00A153D2" w:rsidRPr="00A65F9E" w:rsidRDefault="004F4E89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lipatan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sesar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zona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geodinamika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65B0F2DF" w14:textId="1A57F346" w:rsidR="00A153D2" w:rsidRPr="00A65F9E" w:rsidRDefault="004F4E89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lipatan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sesar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zona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geodinamika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3385C415" w:rsidR="00A153D2" w:rsidRPr="00A65F9E" w:rsidRDefault="004F4E89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geodinamika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0C91E6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359495CD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1351D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1802AEFA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4C8B35CA" w:rsidR="00A153D2" w:rsidRPr="00A65F9E" w:rsidRDefault="00A153D2" w:rsidP="004F4E89">
            <w:pPr>
              <w:ind w:left="-90" w:right="-10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13</w:t>
            </w:r>
            <w:r w:rsidR="004F4E89"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3ED0CE0D" w:rsidR="00A153D2" w:rsidRPr="00A65F9E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4F4E89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6C10F38" w14:textId="6749CD51" w:rsidR="00A153D2" w:rsidRPr="00A65F9E" w:rsidRDefault="004F4E89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keterkaitan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daratan</w:t>
            </w:r>
            <w:proofErr w:type="spellEnd"/>
            <w:r w:rsidR="001351D7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,</w:t>
            </w:r>
            <w:r w:rsidR="001351D7">
              <w:rPr>
                <w:rFonts w:ascii="Calibri" w:hAnsi="Calibri" w:cs="Calibri"/>
                <w:lang w:val="en-ID" w:eastAsia="en-ID"/>
              </w:rPr>
              <w:t xml:space="preserve"> </w:t>
            </w:r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daya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minyak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gas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mineral, dan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hayati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2771984F" w14:textId="766E780A" w:rsidR="00A153D2" w:rsidRPr="00A65F9E" w:rsidRDefault="001351D7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keterkaitan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daratan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,</w:t>
            </w:r>
            <w:r>
              <w:rPr>
                <w:rFonts w:ascii="Calibri" w:hAnsi="Calibri" w:cs="Calibri"/>
                <w:lang w:val="en-ID" w:eastAsia="en-ID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2DA0C740" w:rsidR="00A153D2" w:rsidRPr="00A65F9E" w:rsidRDefault="001351D7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keterkaitan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Kepulauan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Spermonde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daratan</w:t>
            </w:r>
            <w:proofErr w:type="spellEnd"/>
            <w:r w:rsidR="00A153D2"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45D8E5A2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1351D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78768C96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1BB08F0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42059F7D" w:rsidR="00A153D2" w:rsidRPr="00A65F9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</w:t>
            </w:r>
            <w:r w:rsidR="001351D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X2X60’)</w:t>
            </w:r>
          </w:p>
          <w:p w14:paraId="10D23885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65F9E" w:rsidRPr="00A65F9E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A65F9E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29F57A9C" w:rsidR="00A153D2" w:rsidRPr="00A65F9E" w:rsidRDefault="001351D7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daya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gas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mineral, dan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hayati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7603DCAE" w:rsidR="00A153D2" w:rsidRPr="00A65F9E" w:rsidRDefault="00A153D2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potensi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sumber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daya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alam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minyak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gas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mineral, dan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keanekaragaman</w:t>
            </w:r>
            <w:proofErr w:type="spellEnd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1351D7" w:rsidRPr="00A65F9E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hayati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A001703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003BEE5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A65F9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A153D2" w:rsidRPr="00A65F9E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5F998A8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A65F9E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A65F9E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A65F9E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A65F9E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A65F9E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A65F9E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A65F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A65F9E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65F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A65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A65F9E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A65F9E" w:rsidRDefault="00A153D2" w:rsidP="008528BC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 lima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A65F9E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A65F9E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A65F9E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A65F9E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A65F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A65F9E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A65F9E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A65F9E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A65F9E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A65F9E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A65F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Rubrik </w:t>
      </w:r>
      <w:proofErr w:type="spellStart"/>
      <w:r w:rsidRPr="00A65F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65F9E" w:rsidRPr="00A65F9E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A65F9E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A65F9E" w:rsidRPr="00A65F9E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A65F9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65F9E" w:rsidRPr="00A65F9E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A65F9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65F9E" w:rsidRPr="00A65F9E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A65F9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65F9E" w:rsidRPr="00A65F9E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A65F9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65F9E" w:rsidRPr="00A65F9E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A65F9E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65F9E" w:rsidRPr="00A65F9E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A65F9E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A65F9E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65F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A65F9E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A65F9E">
        <w:rPr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A65F9E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C9B0" w14:textId="77777777" w:rsidR="00B8712A" w:rsidRDefault="00B8712A">
      <w:r>
        <w:separator/>
      </w:r>
    </w:p>
  </w:endnote>
  <w:endnote w:type="continuationSeparator" w:id="0">
    <w:p w14:paraId="494DD1BE" w14:textId="77777777" w:rsidR="00B8712A" w:rsidRDefault="00B8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10DF" w14:textId="77777777" w:rsidR="00B8712A" w:rsidRDefault="00B8712A">
      <w:r>
        <w:separator/>
      </w:r>
    </w:p>
  </w:footnote>
  <w:footnote w:type="continuationSeparator" w:id="0">
    <w:p w14:paraId="732784A2" w14:textId="77777777" w:rsidR="00B8712A" w:rsidRDefault="00B8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C8"/>
    <w:multiLevelType w:val="multilevel"/>
    <w:tmpl w:val="D94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74DDB"/>
    <w:multiLevelType w:val="hybridMultilevel"/>
    <w:tmpl w:val="A87C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77D3"/>
    <w:multiLevelType w:val="multilevel"/>
    <w:tmpl w:val="3F9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F2864"/>
    <w:multiLevelType w:val="multilevel"/>
    <w:tmpl w:val="9D4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D4524"/>
    <w:multiLevelType w:val="multilevel"/>
    <w:tmpl w:val="918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31C4A"/>
    <w:multiLevelType w:val="multilevel"/>
    <w:tmpl w:val="15A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471716">
    <w:abstractNumId w:val="2"/>
  </w:num>
  <w:num w:numId="2" w16cid:durableId="437020409">
    <w:abstractNumId w:val="3"/>
  </w:num>
  <w:num w:numId="3" w16cid:durableId="653143336">
    <w:abstractNumId w:val="6"/>
  </w:num>
  <w:num w:numId="4" w16cid:durableId="395397900">
    <w:abstractNumId w:val="5"/>
  </w:num>
  <w:num w:numId="5" w16cid:durableId="938560841">
    <w:abstractNumId w:val="4"/>
  </w:num>
  <w:num w:numId="6" w16cid:durableId="729884998">
    <w:abstractNumId w:val="0"/>
  </w:num>
  <w:num w:numId="7" w16cid:durableId="14994825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1130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51D7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4E4C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B695E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E143C"/>
    <w:rsid w:val="002F398F"/>
    <w:rsid w:val="002F3FC3"/>
    <w:rsid w:val="002F5DE8"/>
    <w:rsid w:val="00303643"/>
    <w:rsid w:val="003044EF"/>
    <w:rsid w:val="00305791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342B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A3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4759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B69AC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4E89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27A05"/>
    <w:rsid w:val="00532538"/>
    <w:rsid w:val="00532E52"/>
    <w:rsid w:val="005342B5"/>
    <w:rsid w:val="00534698"/>
    <w:rsid w:val="00537022"/>
    <w:rsid w:val="00543112"/>
    <w:rsid w:val="005441F8"/>
    <w:rsid w:val="0054554E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3FAA"/>
    <w:rsid w:val="006043B2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1739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530E"/>
    <w:rsid w:val="006B6600"/>
    <w:rsid w:val="006B7279"/>
    <w:rsid w:val="006B7907"/>
    <w:rsid w:val="006C0784"/>
    <w:rsid w:val="006C2942"/>
    <w:rsid w:val="006C3B03"/>
    <w:rsid w:val="006C5746"/>
    <w:rsid w:val="006C5D74"/>
    <w:rsid w:val="006C6E7F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4AFD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1E02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8BC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6BE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01D1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6045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3283D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45DB"/>
    <w:rsid w:val="00A5572A"/>
    <w:rsid w:val="00A564B1"/>
    <w:rsid w:val="00A57624"/>
    <w:rsid w:val="00A5770E"/>
    <w:rsid w:val="00A65F9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D507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17093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8712A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29C"/>
    <w:rsid w:val="00C46EC3"/>
    <w:rsid w:val="00C503E7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868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66B4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B80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88B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customStyle="1" w:styleId="BodyChar">
    <w:name w:val="Body Char"/>
    <w:link w:val="BodyCharChar"/>
    <w:rsid w:val="006043B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6043B2"/>
    <w:rPr>
      <w:rFonts w:ascii="Times" w:hAnsi="Times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10651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15</cp:revision>
  <cp:lastPrinted>2000-08-06T21:38:00Z</cp:lastPrinted>
  <dcterms:created xsi:type="dcterms:W3CDTF">2023-06-02T08:47:00Z</dcterms:created>
  <dcterms:modified xsi:type="dcterms:W3CDTF">2023-06-24T02:48:00Z</dcterms:modified>
  <cp:category>Kurikulum;Document;Draft</cp:category>
  <cp:contentStatus>RPS Mata Kuliah</cp:contentStatus>
</cp:coreProperties>
</file>