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DD66BD" w:rsidRPr="00DD66BD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DD66BD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DD66BD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DD66BD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DD66BD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DD66BD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DD66BD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Kode </w:t>
            </w: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7B4833A8" w:rsidR="005C530D" w:rsidRPr="00DD66BD" w:rsidRDefault="009B6496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SW-D611-57</w:t>
            </w:r>
          </w:p>
        </w:tc>
      </w:tr>
      <w:tr w:rsidR="00DD66BD" w:rsidRPr="00DD66BD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DD66BD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DD66BD" w:rsidRPr="00DD66BD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DD66B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66B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DD66BD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DD66B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66B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DD66BD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D66B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DD66B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66B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DD66B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DD66B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DD66B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DD66B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DD66B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DD66B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DD66B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D66BD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DD66BD" w:rsidRPr="00DD66BD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3C42AF36" w:rsidR="00D8412B" w:rsidRPr="00DD66BD" w:rsidRDefault="009B6496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Sekuen Stratigrafi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45370EF0" w:rsidR="00D8412B" w:rsidRPr="00DD66BD" w:rsidRDefault="009B6496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21D06133202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04971099" w:rsidR="00D8412B" w:rsidRPr="00DD66BD" w:rsidRDefault="0064383E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D66BD">
              <w:rPr>
                <w:rFonts w:ascii="Calibri" w:hAnsi="Calibri"/>
                <w:sz w:val="22"/>
                <w:szCs w:val="22"/>
              </w:rPr>
              <w:t>Ilmu</w:t>
            </w:r>
            <w:proofErr w:type="spellEnd"/>
            <w:r w:rsidRPr="00DD66BD">
              <w:rPr>
                <w:rFonts w:ascii="Calibri" w:hAnsi="Calibr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="Calibri" w:hAnsi="Calibri"/>
                <w:sz w:val="22"/>
                <w:szCs w:val="22"/>
              </w:rPr>
              <w:t>Teknologi</w:t>
            </w:r>
            <w:proofErr w:type="spellEnd"/>
            <w:r w:rsidRPr="00DD66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/>
                <w:sz w:val="22"/>
                <w:szCs w:val="22"/>
              </w:rPr>
              <w:t>Rekayasa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DD66BD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66BD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DD66BD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 w:rsidRPr="00DD66BD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DD66BD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66BD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3E2C8009" w:rsidR="00D8412B" w:rsidRPr="00DD66BD" w:rsidRDefault="004A0261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66B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="009B6496" w:rsidRPr="00DD66BD">
              <w:rPr>
                <w:rFonts w:ascii="Calibri" w:hAnsi="Calibri"/>
                <w:b/>
                <w:bCs/>
                <w:sz w:val="22"/>
                <w:szCs w:val="22"/>
              </w:rPr>
              <w:t xml:space="preserve"> &amp; 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DD66BD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noProof/>
              </w:rPr>
              <w:t>Juni</w:t>
            </w:r>
            <w:r w:rsidR="007A3149" w:rsidRPr="00DD66BD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 w:rsidRPr="00DD66BD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DD66BD" w:rsidRPr="00DD66BD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DD66BD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D66BD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DD66BD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DD66B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DD66B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DD66B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DD66BD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DD66B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DD66B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DD66B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,</w:t>
            </w:r>
            <w:r w:rsidR="007E518B" w:rsidRPr="00DD66B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Pr="00DD66B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DD66B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DD66B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DD66B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DD66BD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D66BD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DD66BD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D66B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DD66BD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D66BD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DD66BD" w:rsidRPr="00DD66BD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DD66BD" w:rsidRDefault="00FD6E98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610B6" w14:textId="77777777" w:rsidR="009B6496" w:rsidRPr="00DD66BD" w:rsidRDefault="009B6496" w:rsidP="009B6496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Dr. </w:t>
            </w:r>
            <w:r w:rsidRPr="00DD66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Ir. </w:t>
            </w: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</w:rPr>
              <w:t>Hj</w:t>
            </w:r>
            <w:proofErr w:type="spellEnd"/>
            <w:r w:rsidRPr="00DD66BD">
              <w:rPr>
                <w:rFonts w:asciiTheme="minorHAnsi" w:hAnsiTheme="minorHAnsi" w:cstheme="minorHAnsi"/>
                <w:bCs/>
                <w:sz w:val="22"/>
                <w:szCs w:val="22"/>
              </w:rPr>
              <w:t>. Ratna Husain, MT</w:t>
            </w:r>
          </w:p>
          <w:p w14:paraId="643C06F5" w14:textId="77777777" w:rsidR="009B6496" w:rsidRPr="00DD66BD" w:rsidRDefault="009B6496" w:rsidP="009B6496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</w:rPr>
              <w:t>Asri Jaya</w:t>
            </w:r>
          </w:p>
          <w:p w14:paraId="65B66E37" w14:textId="6DE3D3F8" w:rsidR="00FD6E98" w:rsidRPr="00DD66BD" w:rsidRDefault="009B6496" w:rsidP="009B6496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Muhammad </w:t>
            </w: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</w:rPr>
              <w:t>Sulhuzair</w:t>
            </w:r>
            <w:proofErr w:type="spellEnd"/>
            <w:r w:rsidRPr="00DD66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Burhanuddin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5B1A3837" w:rsidR="00FD6E98" w:rsidRPr="00DD66BD" w:rsidRDefault="009B6496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Dr. 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Ir.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Hj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. Ratna Husain, MT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DD66BD" w:rsidRDefault="002330BE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Hendra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DD66BD" w:rsidRPr="00DD66BD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DD66BD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DD66BD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DD66BD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DD66BD" w:rsidRPr="00DD66BD" w14:paraId="0F7CA20F" w14:textId="77777777" w:rsidTr="001C240E">
        <w:trPr>
          <w:trHeight w:val="2082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DD66BD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382621B0" w:rsidR="002330BE" w:rsidRPr="00DD66B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64383E"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2</w:t>
            </w:r>
          </w:p>
          <w:p w14:paraId="52AA0B05" w14:textId="77777777" w:rsidR="00ED3002" w:rsidRPr="00DD66BD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CEE71B1" w14:textId="77777777" w:rsidR="002330BE" w:rsidRPr="00DD66B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P-</w:t>
            </w:r>
            <w:r w:rsidR="009B6496"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3</w:t>
            </w:r>
          </w:p>
          <w:p w14:paraId="471A60FE" w14:textId="77777777" w:rsidR="00FF20CF" w:rsidRPr="00DD66BD" w:rsidRDefault="00FF20C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4740995B" w:rsidR="00FF20CF" w:rsidRPr="00DD66BD" w:rsidRDefault="00FF20C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CP-7</w:t>
            </w:r>
          </w:p>
        </w:tc>
        <w:tc>
          <w:tcPr>
            <w:tcW w:w="5670" w:type="dxa"/>
            <w:gridSpan w:val="5"/>
          </w:tcPr>
          <w:p w14:paraId="6D204CB0" w14:textId="4872C135" w:rsidR="001C240E" w:rsidRDefault="001C240E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Memiliki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pemahaman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beserta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produk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menyusun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membentuk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bumi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707B67" w14:textId="5E58E79D" w:rsidR="002330BE" w:rsidRPr="00DD66BD" w:rsidRDefault="001C240E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mengartikan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  <w:p w14:paraId="154D1E93" w14:textId="467EDEA9" w:rsidR="00FF20CF" w:rsidRPr="00DD66BD" w:rsidRDefault="001C240E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kepentingan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rekayasa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memecahkan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masalah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muncul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08" w:type="dxa"/>
          </w:tcPr>
          <w:p w14:paraId="23D8D0B2" w14:textId="021F827F" w:rsidR="002330BE" w:rsidRPr="00DD66B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1C240E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4</w:t>
            </w:r>
          </w:p>
          <w:p w14:paraId="7EFD48CA" w14:textId="77777777" w:rsidR="009B6496" w:rsidRPr="00DD66BD" w:rsidRDefault="009B649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CB00C6" w14:textId="2F315D7A" w:rsidR="002330BE" w:rsidRPr="00DD66BD" w:rsidRDefault="009B649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KU2</w:t>
            </w:r>
          </w:p>
          <w:p w14:paraId="09026A53" w14:textId="77777777" w:rsidR="00FF20CF" w:rsidRPr="00DD66BD" w:rsidRDefault="00FF20C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1116E45" w14:textId="767BDE0C" w:rsidR="00ED3002" w:rsidRPr="00DD66BD" w:rsidRDefault="0064383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KK4</w:t>
            </w:r>
          </w:p>
          <w:p w14:paraId="2C0B88FD" w14:textId="4E4F490D" w:rsidR="002330BE" w:rsidRPr="00DD66B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6527" w:type="dxa"/>
            <w:gridSpan w:val="6"/>
          </w:tcPr>
          <w:p w14:paraId="2DE15ED3" w14:textId="3BCD278B" w:rsidR="009B6496" w:rsidRPr="00DD66BD" w:rsidRDefault="001C240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sains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proses-proses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81FFA5" w14:textId="2A8F24B8" w:rsidR="00FF20CF" w:rsidRPr="00DD66BD" w:rsidRDefault="001C240E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hubungan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kondisi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aspek-aspek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suatu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daerah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komprehensif</w:t>
            </w:r>
            <w:proofErr w:type="spellEnd"/>
          </w:p>
          <w:p w14:paraId="26A47DD9" w14:textId="406D4A6E" w:rsidR="002330BE" w:rsidRPr="00DD66BD" w:rsidRDefault="001C240E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kepentingan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rekayasa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bidang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C240E">
              <w:rPr>
                <w:rFonts w:asciiTheme="minorHAnsi" w:hAnsiTheme="minorHAnsi" w:cstheme="minorHAnsi"/>
                <w:sz w:val="22"/>
                <w:szCs w:val="22"/>
              </w:rPr>
              <w:t>tektonik</w:t>
            </w:r>
            <w:proofErr w:type="spellEnd"/>
          </w:p>
        </w:tc>
      </w:tr>
      <w:tr w:rsidR="00DD66BD" w:rsidRPr="00DD66BD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DD66BD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DD66BD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DD66BD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DD66BD" w:rsidRPr="00DD66BD" w14:paraId="431E2BDE" w14:textId="77777777" w:rsidTr="0064383E">
        <w:trPr>
          <w:trHeight w:val="1081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DD66BD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DD66BD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DD66BD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DD66BD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263F90E4" w14:textId="5AF60D1C" w:rsidR="003C59A4" w:rsidRPr="00DD66BD" w:rsidRDefault="003C59A4" w:rsidP="003C59A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  <w:p w14:paraId="68E154AB" w14:textId="24B2D017" w:rsidR="00ED3002" w:rsidRPr="00DD66BD" w:rsidRDefault="003C59A4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622" w:type="dxa"/>
            <w:gridSpan w:val="11"/>
          </w:tcPr>
          <w:p w14:paraId="35049F35" w14:textId="313EB915" w:rsidR="003C59A4" w:rsidRPr="00DD66BD" w:rsidRDefault="003C59A4" w:rsidP="003C59A4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prinsip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[P5]</w:t>
            </w:r>
          </w:p>
          <w:p w14:paraId="4E4F24BC" w14:textId="44E4C5BF" w:rsidR="00502DA8" w:rsidRPr="00DD66BD" w:rsidRDefault="00502DA8" w:rsidP="00502DA8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serta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reservoir (CP-7) [KK4]</w:t>
            </w:r>
          </w:p>
          <w:p w14:paraId="17830788" w14:textId="18C4A967" w:rsidR="00502DA8" w:rsidRPr="00DD66BD" w:rsidRDefault="00502DA8" w:rsidP="00502DA8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Mengembangkan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kemampuan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berpikir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kritis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analitis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menghadapi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masalah-masalah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[KK4]</w:t>
            </w:r>
          </w:p>
          <w:p w14:paraId="0D5C9477" w14:textId="701CB29D" w:rsidR="003C59A4" w:rsidRPr="00DD66BD" w:rsidRDefault="003C59A4" w:rsidP="003C59A4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mengklasifikasikan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bebatuan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[P5]</w:t>
            </w:r>
          </w:p>
          <w:p w14:paraId="33B85566" w14:textId="5FD9FB07" w:rsidR="003C59A4" w:rsidRPr="00DD66BD" w:rsidRDefault="003C59A4" w:rsidP="003C59A4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Menganalisis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menginterpretasikan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rekaman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konteks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(CP-3) [KU2]</w:t>
            </w:r>
          </w:p>
          <w:p w14:paraId="32487E5E" w14:textId="0829C12E" w:rsidR="00B6767D" w:rsidRPr="00DD66BD" w:rsidRDefault="00B6767D" w:rsidP="003C59A4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</w:p>
          <w:p w14:paraId="5ACC776F" w14:textId="77777777" w:rsidR="00502DA8" w:rsidRPr="00DD66BD" w:rsidRDefault="00502DA8" w:rsidP="003C59A4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</w:p>
          <w:p w14:paraId="5C399C11" w14:textId="77777777" w:rsidR="00502DA8" w:rsidRPr="00DD66BD" w:rsidRDefault="00502DA8" w:rsidP="003C59A4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</w:p>
          <w:p w14:paraId="6A43B907" w14:textId="710EB4C3" w:rsidR="00502DA8" w:rsidRPr="00DD66BD" w:rsidRDefault="00502DA8" w:rsidP="003C59A4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</w:p>
        </w:tc>
      </w:tr>
      <w:tr w:rsidR="00DD66BD" w:rsidRPr="00DD66BD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DD66BD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DD66BD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DD66BD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DD66BD" w:rsidRPr="00DD66BD" w14:paraId="22C7752C" w14:textId="77777777" w:rsidTr="005045FE">
        <w:trPr>
          <w:trHeight w:val="2819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DD66BD" w:rsidRDefault="00AD0718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1" w:type="dxa"/>
            <w:gridSpan w:val="3"/>
          </w:tcPr>
          <w:p w14:paraId="20BC89C4" w14:textId="28552CBB" w:rsidR="005045FE" w:rsidRPr="00DD66BD" w:rsidRDefault="005045FE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 1]</w:t>
            </w:r>
          </w:p>
          <w:p w14:paraId="66A1CF55" w14:textId="689BE211" w:rsidR="006138AF" w:rsidRPr="00DD66BD" w:rsidRDefault="006138AF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C9F7C" w14:textId="77777777" w:rsidR="006138AF" w:rsidRPr="00DD66BD" w:rsidRDefault="006138AF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DDDAB" w14:textId="13BF34D0" w:rsidR="005045FE" w:rsidRPr="00DD66BD" w:rsidRDefault="005045FE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 2]</w:t>
            </w:r>
          </w:p>
          <w:p w14:paraId="2959BE18" w14:textId="72DE70D6" w:rsidR="006138AF" w:rsidRPr="00DD66BD" w:rsidRDefault="006138AF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BC4F1" w14:textId="77777777" w:rsidR="006138AF" w:rsidRPr="00DD66BD" w:rsidRDefault="006138AF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DF589" w14:textId="24DF2D7D" w:rsidR="005045FE" w:rsidRPr="00DD66BD" w:rsidRDefault="005045FE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 3]</w:t>
            </w:r>
          </w:p>
          <w:p w14:paraId="20E0E962" w14:textId="6F660753" w:rsidR="006138AF" w:rsidRPr="00DD66BD" w:rsidRDefault="006138AF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3FA3B" w14:textId="77777777" w:rsidR="006138AF" w:rsidRPr="00DD66BD" w:rsidRDefault="006138AF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171E4" w14:textId="3D1385AC" w:rsidR="005045FE" w:rsidRPr="00DD66BD" w:rsidRDefault="005045FE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 4]</w:t>
            </w:r>
          </w:p>
          <w:p w14:paraId="30FBE1F7" w14:textId="4A188956" w:rsidR="006138AF" w:rsidRPr="00DD66BD" w:rsidRDefault="006138AF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041D1" w14:textId="5B59BF06" w:rsidR="006138AF" w:rsidRPr="00DD66BD" w:rsidRDefault="006138AF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229B1" w14:textId="77777777" w:rsidR="006138AF" w:rsidRPr="00DD66BD" w:rsidRDefault="006138AF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B31F7" w14:textId="77777777" w:rsidR="005045FE" w:rsidRPr="00DD66BD" w:rsidRDefault="005045FE" w:rsidP="0050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 5]</w:t>
            </w:r>
          </w:p>
          <w:p w14:paraId="07E8870F" w14:textId="74A9920F" w:rsidR="006138AF" w:rsidRPr="00DD66BD" w:rsidRDefault="006138AF" w:rsidP="00613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EF7FD" w14:textId="118C2563" w:rsidR="00D412C0" w:rsidRPr="00DD66BD" w:rsidRDefault="00D412C0" w:rsidP="00FF20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556EA427" w14:textId="0F8D6259" w:rsidR="003C59A4" w:rsidRPr="00DD66BD" w:rsidRDefault="005045FE" w:rsidP="005045F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</w:t>
            </w:r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efinisi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[P5] (</w:t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CPMK-1)</w:t>
            </w:r>
          </w:p>
          <w:p w14:paraId="109C4483" w14:textId="2A2DE09B" w:rsidR="003C59A4" w:rsidRPr="00DD66BD" w:rsidRDefault="005045FE" w:rsidP="005045FE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h</w:t>
            </w:r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ierarki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skala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[P5] (</w:t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CPMK-1)</w:t>
            </w:r>
          </w:p>
          <w:p w14:paraId="3D0E7319" w14:textId="6E626949" w:rsidR="006138AF" w:rsidRPr="00DD66BD" w:rsidRDefault="006138AF" w:rsidP="005045FE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2758CD95" w14:textId="77777777" w:rsidR="006138AF" w:rsidRPr="00DD66BD" w:rsidRDefault="006138AF" w:rsidP="006138AF">
            <w:p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 (CP-7) [KK4] (</w:t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CPMK-5)</w:t>
            </w:r>
          </w:p>
          <w:p w14:paraId="506E023D" w14:textId="14D3846E" w:rsidR="006138AF" w:rsidRPr="00DD66BD" w:rsidRDefault="006138AF" w:rsidP="006138AF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reservoir (CP-7) [KK4] (</w:t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CPMK-5)</w:t>
            </w:r>
          </w:p>
          <w:p w14:paraId="02B5F3CB" w14:textId="77777777" w:rsidR="006138AF" w:rsidRPr="00DD66BD" w:rsidRDefault="006138AF" w:rsidP="005045FE">
            <w:p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1A96D4BD" w14:textId="47832C27" w:rsidR="003C59A4" w:rsidRPr="00DD66BD" w:rsidRDefault="005045FE" w:rsidP="005045F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</w:t>
            </w:r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ontrol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eustatik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tectonic, dan sediment supply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[P5] (</w:t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CPMK-2)</w:t>
            </w:r>
          </w:p>
          <w:p w14:paraId="276C0F28" w14:textId="19565969" w:rsidR="003C59A4" w:rsidRPr="00DD66BD" w:rsidRDefault="005045FE" w:rsidP="005045FE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engaruh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relatif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terhadap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[P5] (</w:t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CPMK-2)</w:t>
            </w:r>
          </w:p>
          <w:p w14:paraId="20B0E080" w14:textId="77777777" w:rsidR="006138AF" w:rsidRPr="00DD66BD" w:rsidRDefault="006138AF" w:rsidP="005045FE">
            <w:p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01E8DDEC" w14:textId="62619217" w:rsidR="003C59A4" w:rsidRPr="00DD66BD" w:rsidRDefault="005045FE" w:rsidP="005045F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</w:t>
            </w:r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dentifikasi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sequence boundaries, transgressions, regressions, dan maximum flooding surface</w:t>
            </w: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(CP-3) [KU2] (</w:t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CPMK-3)</w:t>
            </w:r>
          </w:p>
          <w:p w14:paraId="5D964ED2" w14:textId="3CA14054" w:rsidR="003C59A4" w:rsidRPr="00DD66BD" w:rsidRDefault="005045FE" w:rsidP="005045FE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h</w:t>
            </w:r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ubungan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3C59A4"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(CP-3) [KU2] (</w:t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CPMK-3)</w:t>
            </w:r>
          </w:p>
          <w:p w14:paraId="112DA857" w14:textId="77777777" w:rsidR="006138AF" w:rsidRPr="00DD66BD" w:rsidRDefault="006138AF" w:rsidP="005045FE">
            <w:p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719520B6" w14:textId="4CA3659D" w:rsidR="005045FE" w:rsidRPr="00DD66BD" w:rsidRDefault="005045FE" w:rsidP="005045F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log dan data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sumur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[KK4] (</w:t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CPMK-4)</w:t>
            </w:r>
          </w:p>
          <w:p w14:paraId="0114CC19" w14:textId="1F9FD292" w:rsidR="005045FE" w:rsidRPr="00DD66BD" w:rsidRDefault="005045FE" w:rsidP="005045FE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mengnterpretasi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menggunakan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penampang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data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lapangan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[KK4] (</w:t>
            </w:r>
            <w:r w:rsidRPr="00DD66B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CPMK-4)</w:t>
            </w:r>
          </w:p>
          <w:p w14:paraId="515DF105" w14:textId="77777777" w:rsidR="006138AF" w:rsidRPr="00DD66BD" w:rsidRDefault="006138AF" w:rsidP="005045FE">
            <w:p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0193EBBD" w14:textId="08471644" w:rsidR="00AD0718" w:rsidRPr="00DD66BD" w:rsidRDefault="00AD0718" w:rsidP="005045FE">
            <w:p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</w:p>
        </w:tc>
      </w:tr>
      <w:tr w:rsidR="00DD66BD" w:rsidRPr="00DD66BD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DD66B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DD66B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29E0DC5D" w:rsidR="00AD0718" w:rsidRPr="00DD66BD" w:rsidRDefault="00EE005A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 xml:space="preserve">Mata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ini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bertujuan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memberikan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pemahaman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dasar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prinsip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konsep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akan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mempelajari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proses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pengendapan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lapisan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batuan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kerangka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waktu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geologi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lebih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luas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Selain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itu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mata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ini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akan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membahas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tanda-tanda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, interpretasi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pengendapan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penerapan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pengeboran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minyak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dan gas.</w:t>
            </w:r>
          </w:p>
        </w:tc>
      </w:tr>
      <w:tr w:rsidR="00DD66BD" w:rsidRPr="00DD66BD" w14:paraId="2B75DF7D" w14:textId="77777777" w:rsidTr="00EE005A">
        <w:trPr>
          <w:trHeight w:val="1402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DD66BD" w:rsidRDefault="00AD0718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7849756D" w14:textId="77777777" w:rsidR="00EE005A" w:rsidRPr="00DD66BD" w:rsidRDefault="00EE005A" w:rsidP="008F2881">
            <w:pPr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Pengantar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</w:p>
          <w:p w14:paraId="352ADDC5" w14:textId="77777777" w:rsidR="00EE005A" w:rsidRPr="00DD66BD" w:rsidRDefault="00EE005A" w:rsidP="008F2881">
            <w:pPr>
              <w:numPr>
                <w:ilvl w:val="0"/>
                <w:numId w:val="4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488AA7A8" w14:textId="77777777" w:rsidR="00EE005A" w:rsidRPr="00DD66BD" w:rsidRDefault="00EE005A" w:rsidP="008F2881">
            <w:pPr>
              <w:numPr>
                <w:ilvl w:val="0"/>
                <w:numId w:val="4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Hierarki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skala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0A4EB0C0" w14:textId="5B27B9D3" w:rsidR="00EE005A" w:rsidRPr="00DD66BD" w:rsidRDefault="00EE005A" w:rsidP="008F288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</w:p>
          <w:p w14:paraId="07DF6BA1" w14:textId="77777777" w:rsidR="00EE005A" w:rsidRPr="00DD66BD" w:rsidRDefault="00EE005A" w:rsidP="008F2881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Kontrol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eustatik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tectonic, dan sediment supply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2130A39B" w14:textId="77777777" w:rsidR="00EE005A" w:rsidRPr="00DD66BD" w:rsidRDefault="00EE005A" w:rsidP="008F2881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relatif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620139EA" w14:textId="17502E98" w:rsidR="00EE005A" w:rsidRPr="00DD66BD" w:rsidRDefault="00EE005A" w:rsidP="008F288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</w:p>
          <w:p w14:paraId="6417A038" w14:textId="77777777" w:rsidR="00EE005A" w:rsidRPr="00DD66BD" w:rsidRDefault="00EE005A" w:rsidP="008F2881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sequence boundaries, transgressions, regressions, dan maximum flooding surface.</w:t>
            </w:r>
          </w:p>
          <w:p w14:paraId="796A78DB" w14:textId="77777777" w:rsidR="00EE005A" w:rsidRPr="00DD66BD" w:rsidRDefault="00EE005A" w:rsidP="008F2881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04AB54B6" w14:textId="1260E2A7" w:rsidR="00EE005A" w:rsidRPr="00DD66BD" w:rsidRDefault="00EE005A" w:rsidP="008F288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Interpretasi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</w:p>
          <w:p w14:paraId="3BDD7401" w14:textId="77777777" w:rsidR="00EE005A" w:rsidRPr="00DD66BD" w:rsidRDefault="00EE005A" w:rsidP="008F2881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log dan data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sumur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39B81272" w14:textId="77777777" w:rsidR="00EE005A" w:rsidRPr="00DD66BD" w:rsidRDefault="00EE005A" w:rsidP="008F2881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Interpretasi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menggunakan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penampang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data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lapangan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65A86F36" w14:textId="54DF4884" w:rsidR="00EE005A" w:rsidRPr="00DD66BD" w:rsidRDefault="00EE005A" w:rsidP="008F288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</w:p>
          <w:p w14:paraId="09BF559E" w14:textId="77777777" w:rsidR="00EE005A" w:rsidRPr="00DD66BD" w:rsidRDefault="00EE005A" w:rsidP="008F2881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gas.</w:t>
            </w:r>
          </w:p>
          <w:p w14:paraId="2196A648" w14:textId="1D257B78" w:rsidR="003874FF" w:rsidRPr="00DD66BD" w:rsidRDefault="00EE005A" w:rsidP="008F2881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reservoir.</w:t>
            </w:r>
          </w:p>
        </w:tc>
      </w:tr>
      <w:tr w:rsidR="00DD66BD" w:rsidRPr="00DD66BD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DD66B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DD66BD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DD66BD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66BD" w:rsidRPr="00DD66BD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DD66B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31BCA0BF" w14:textId="77777777" w:rsidR="00EE005A" w:rsidRPr="00DD66BD" w:rsidRDefault="00EE005A" w:rsidP="008F2881">
            <w:pPr>
              <w:pStyle w:val="ListParagraph"/>
              <w:numPr>
                <w:ilvl w:val="1"/>
                <w:numId w:val="9"/>
              </w:numPr>
              <w:autoSpaceDE/>
              <w:autoSpaceDN/>
              <w:ind w:left="3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Catuneanu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O. (2002), </w:t>
            </w:r>
            <w:r w:rsidRPr="00DD66BD">
              <w:rPr>
                <w:rStyle w:val="Strong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Sequence Stratigraphy of clastic systems: concepts, merits, and pitfall</w:t>
            </w:r>
            <w:r w:rsidRPr="00DD66BD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/>
              </w:rPr>
              <w:t>s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Journal of African Earth Sciences, Volume 35, Issue 1, hal.1-43.</w:t>
            </w:r>
          </w:p>
          <w:p w14:paraId="2C6F848C" w14:textId="77777777" w:rsidR="00EE005A" w:rsidRPr="00DD66BD" w:rsidRDefault="00EE005A" w:rsidP="008F2881">
            <w:pPr>
              <w:pStyle w:val="ListParagraph"/>
              <w:numPr>
                <w:ilvl w:val="1"/>
                <w:numId w:val="9"/>
              </w:numPr>
              <w:autoSpaceDE/>
              <w:autoSpaceDN/>
              <w:ind w:left="3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Catuneanu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O., Willis, A., and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Miall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A. D., 1998, </w:t>
            </w:r>
            <w:r w:rsidRPr="00DD66BD">
              <w:rPr>
                <w:rStyle w:val="Strong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Temporal significance of Sequence Boundaries</w:t>
            </w:r>
            <w:r w:rsidRPr="00DD66BD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Sedimentary Geology, vol. 121,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hal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157-178.</w:t>
            </w:r>
          </w:p>
          <w:p w14:paraId="4D3CBB70" w14:textId="77777777" w:rsidR="00EE005A" w:rsidRPr="00DD66BD" w:rsidRDefault="00EE005A" w:rsidP="008F2881">
            <w:pPr>
              <w:pStyle w:val="ListParagraph"/>
              <w:numPr>
                <w:ilvl w:val="1"/>
                <w:numId w:val="9"/>
              </w:numPr>
              <w:autoSpaceDE/>
              <w:autoSpaceDN/>
              <w:ind w:left="3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Posamentier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, H.W., dan Vail, P.R. (1988): </w:t>
            </w:r>
            <w:hyperlink r:id="rId9" w:history="1">
              <w:r w:rsidRPr="00DD66B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Eustatic controls on clastic deposition II—sequence and systems tract models</w:t>
              </w:r>
            </w:hyperlink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, Special Publications of SEPM. </w:t>
            </w:r>
          </w:p>
          <w:p w14:paraId="2DEF8397" w14:textId="77777777" w:rsidR="00EE005A" w:rsidRPr="00DD66BD" w:rsidRDefault="00EE005A" w:rsidP="008F2881">
            <w:pPr>
              <w:pStyle w:val="ListParagraph"/>
              <w:numPr>
                <w:ilvl w:val="1"/>
                <w:numId w:val="9"/>
              </w:numPr>
              <w:autoSpaceDE/>
              <w:autoSpaceDN/>
              <w:ind w:left="3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van Wagoner, J.C, Michum, R.M, Campion, K.M &amp; Rahmanian, V.D., 1990, Siliciclstic Sequence Stratigraphy in Well Logs, Cores and outcropes : Concepts for high-resolution Correlation of Time and Facies,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Am.Ass. Petrol. Geol. Methods in Exploration Series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No. 7, U.S.A 55p .</w:t>
            </w:r>
          </w:p>
          <w:p w14:paraId="589811C5" w14:textId="77777777" w:rsidR="00EE005A" w:rsidRPr="00DD66BD" w:rsidRDefault="00EE005A" w:rsidP="008F2881">
            <w:pPr>
              <w:numPr>
                <w:ilvl w:val="1"/>
                <w:numId w:val="9"/>
              </w:numPr>
              <w:autoSpaceDE/>
              <w:autoSpaceDN/>
              <w:ind w:left="327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Walker, R.G., 1992, Facies Model: Respone and Sea Level Change,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Geological Association of Canada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 p.1-14.</w:t>
            </w:r>
          </w:p>
          <w:p w14:paraId="3A367982" w14:textId="77777777" w:rsidR="00EE005A" w:rsidRPr="00DD66BD" w:rsidRDefault="00EE005A" w:rsidP="008F2881">
            <w:pPr>
              <w:numPr>
                <w:ilvl w:val="1"/>
                <w:numId w:val="9"/>
              </w:numPr>
              <w:autoSpaceDE/>
              <w:autoSpaceDN/>
              <w:ind w:left="327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Wilgus C.K., Hasting B.S., Kendall C.G., Posamentier H.W., Ross C.A and van Wagoner J.C., (1998), Sea Level Chanes: An Integrated Approach, SEPM spec. Publ. No 42, Tulsa </w:t>
            </w:r>
          </w:p>
          <w:p w14:paraId="08894022" w14:textId="55124D90" w:rsidR="00955BAC" w:rsidRPr="00DD66BD" w:rsidRDefault="00EE005A" w:rsidP="008F2881">
            <w:pPr>
              <w:numPr>
                <w:ilvl w:val="1"/>
                <w:numId w:val="9"/>
              </w:numPr>
              <w:autoSpaceDE/>
              <w:autoSpaceDN/>
              <w:ind w:left="327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Vail, P.R., 1987, Seismic Stratigraphy Interpretation Using Sequence Stratigraphy, Part I; Seismic Stratigraphy Interpretation Procedure, </w:t>
            </w:r>
            <w:r w:rsidRPr="00DD66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: A.W. Bally, (ed.)., Atlas of Seismic Stratigraphy: </w:t>
            </w:r>
            <w:r w:rsidRPr="00DD66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Am. Ass. Petrol. Geol. 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Studies in Geology </w:t>
            </w: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, V.1,p.1-10.</w:t>
            </w:r>
          </w:p>
        </w:tc>
      </w:tr>
      <w:tr w:rsidR="00DD66BD" w:rsidRPr="00DD66BD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DD66B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DD66BD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DD6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DD66BD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6BD" w:rsidRPr="00DD66BD" w14:paraId="3A4F386E" w14:textId="77777777" w:rsidTr="00EE005A">
        <w:trPr>
          <w:trHeight w:val="263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DD66BD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365F11B3" w:rsidR="005221EE" w:rsidRPr="00DD66BD" w:rsidRDefault="00EE005A" w:rsidP="00EE005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</w:t>
            </w:r>
          </w:p>
        </w:tc>
      </w:tr>
      <w:tr w:rsidR="00DD66BD" w:rsidRPr="00DD66BD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DD66B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29835F4A" w14:textId="77777777" w:rsidR="00EE005A" w:rsidRPr="00DD66BD" w:rsidRDefault="00EE005A" w:rsidP="008F2881">
            <w:pPr>
              <w:pStyle w:val="ListParagraph"/>
              <w:numPr>
                <w:ilvl w:val="0"/>
                <w:numId w:val="2"/>
              </w:numPr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Dr. 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Ir.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Hj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. Ratna Husain, MT (D61-RH)</w:t>
            </w:r>
          </w:p>
          <w:p w14:paraId="38DF860E" w14:textId="2FEB5F91" w:rsidR="00A82C4C" w:rsidRPr="00DD66BD" w:rsidRDefault="00EE005A" w:rsidP="008F2881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Dr. Eng. Asri Jaya, S.T., M.T. (D61-AJ)</w:t>
            </w:r>
          </w:p>
        </w:tc>
      </w:tr>
      <w:tr w:rsidR="00DD66BD" w:rsidRPr="00DD66BD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DD66B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DD66B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002EA645" w:rsidR="00AD0718" w:rsidRPr="00DD66BD" w:rsidRDefault="00EE005A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Sedimentologi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</w:rPr>
              <w:t>Stratigrafi</w:t>
            </w:r>
            <w:proofErr w:type="spellEnd"/>
          </w:p>
        </w:tc>
      </w:tr>
    </w:tbl>
    <w:p w14:paraId="7D49E9C3" w14:textId="77777777" w:rsidR="00C738E6" w:rsidRPr="00DD66BD" w:rsidRDefault="00C738E6" w:rsidP="009B7DF1">
      <w:pPr>
        <w:sectPr w:rsidR="00C738E6" w:rsidRPr="00DD66BD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5A4FA593" w14:textId="77777777" w:rsidR="00E31800" w:rsidRPr="00DD66BD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DD66BD" w:rsidRPr="00DD66BD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DD66BD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DD66B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DD66B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DD66B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DD66B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DD66B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DD66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DD66B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DD66B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DD66B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DD66B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DD66BD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DD66BD" w:rsidRPr="00DD66BD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DD66BD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DD66B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DD66B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DD66B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DD66B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DD66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DD66B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DD66BD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DD66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DD66B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DD66B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DD66B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DD66B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DD66B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DD66B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DD66BD" w:rsidRPr="00DD66BD" w14:paraId="49644143" w14:textId="77777777" w:rsidTr="00A153D2">
        <w:trPr>
          <w:trHeight w:val="2567"/>
        </w:trPr>
        <w:tc>
          <w:tcPr>
            <w:tcW w:w="219" w:type="pct"/>
            <w:vMerge w:val="restart"/>
            <w:shd w:val="clear" w:color="auto" w:fill="auto"/>
          </w:tcPr>
          <w:p w14:paraId="54F20EF3" w14:textId="4A5F26E3" w:rsidR="0096786D" w:rsidRPr="00DD66BD" w:rsidRDefault="0096786D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1 - 2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03CCE7A" w14:textId="77777777" w:rsidR="0096786D" w:rsidRPr="00DD66BD" w:rsidRDefault="0096786D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653463B5" w14:textId="6656A589" w:rsidR="0096786D" w:rsidRPr="00DD66BD" w:rsidRDefault="0096786D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hierarki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skala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25E1F205" w14:textId="447C6D6E" w:rsidR="0096786D" w:rsidRPr="00DD66BD" w:rsidRDefault="0096786D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konsep-konsep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96786D" w:rsidRPr="00DD66BD" w:rsidRDefault="0096786D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96786D" w:rsidRPr="00DD66BD" w:rsidRDefault="0096786D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96786D" w:rsidRPr="00DD66BD" w:rsidRDefault="0096786D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96786D" w:rsidRPr="00DD66BD" w:rsidRDefault="0096786D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714D7BA6" w:rsidR="0096786D" w:rsidRPr="00DD66BD" w:rsidRDefault="0096786D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konsep-konsep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96786D" w:rsidRPr="00DD66BD" w:rsidRDefault="0096786D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96786D" w:rsidRPr="00DD66BD" w:rsidRDefault="0096786D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96786D" w:rsidRPr="00DD66BD" w:rsidRDefault="0096786D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96786D" w:rsidRPr="00DD66BD" w:rsidRDefault="0096786D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96786D" w:rsidRPr="00DD66BD" w:rsidRDefault="0096786D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96786D" w:rsidRPr="00DD66BD" w:rsidRDefault="0096786D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96786D" w:rsidRPr="00DD66BD" w:rsidRDefault="0096786D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96786D" w:rsidRPr="00DD66BD" w:rsidRDefault="0096786D" w:rsidP="008F288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DD66BD">
              <w:rPr>
                <w:rStyle w:val="fontstyle01"/>
                <w:color w:val="auto"/>
              </w:rPr>
              <w:t xml:space="preserve"> </w:t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96786D" w:rsidRPr="00DD66BD" w:rsidRDefault="0096786D" w:rsidP="008F288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96786D" w:rsidRPr="00DD66BD" w:rsidRDefault="0096786D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96786D" w:rsidRPr="00DD66BD" w:rsidRDefault="0096786D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96786D" w:rsidRPr="00DD66BD" w:rsidRDefault="0096786D" w:rsidP="008F288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96786D" w:rsidRPr="00DD66BD" w:rsidRDefault="0096786D" w:rsidP="008F2881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DD66B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96786D" w:rsidRPr="00DD66BD" w:rsidRDefault="0096786D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96786D" w:rsidRPr="00DD66BD" w:rsidRDefault="0096786D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96786D" w:rsidRPr="00DD66BD" w:rsidRDefault="0096786D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96786D" w:rsidRPr="00DD66BD" w:rsidRDefault="0096786D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96786D" w:rsidRPr="00DD66BD" w:rsidRDefault="0096786D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96786D" w:rsidRPr="00DD66BD" w:rsidRDefault="0096786D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96786D" w:rsidRPr="00DD66BD" w:rsidRDefault="0096786D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96786D" w:rsidRPr="00DD66BD" w:rsidRDefault="0096786D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96786D" w:rsidRPr="00DD66BD" w:rsidRDefault="0096786D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19A2262B" w14:textId="77777777" w:rsidTr="00A153D2">
        <w:trPr>
          <w:trHeight w:val="2567"/>
        </w:trPr>
        <w:tc>
          <w:tcPr>
            <w:tcW w:w="219" w:type="pct"/>
            <w:vMerge/>
            <w:shd w:val="clear" w:color="auto" w:fill="auto"/>
          </w:tcPr>
          <w:p w14:paraId="5836B11B" w14:textId="77777777" w:rsidR="0096786D" w:rsidRPr="00DD66BD" w:rsidRDefault="0096786D" w:rsidP="0096786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453530A0" w14:textId="77777777" w:rsidR="0096786D" w:rsidRPr="00DD66BD" w:rsidRDefault="0096786D" w:rsidP="009678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4973F78" w14:textId="4D39197A" w:rsidR="0096786D" w:rsidRPr="00DD66BD" w:rsidRDefault="0096786D" w:rsidP="0096786D">
            <w:pPr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hierarki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skala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19F47D1A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3701DF2" w14:textId="77777777" w:rsidR="0096786D" w:rsidRPr="00DD66BD" w:rsidRDefault="0096786D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0F399C0B" w14:textId="77777777" w:rsidR="0096786D" w:rsidRPr="00DD66BD" w:rsidRDefault="0096786D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3FE48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6AB429" w14:textId="39F154C3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hierarki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skala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52067860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44CB92" w14:textId="77777777" w:rsidR="0096786D" w:rsidRPr="00DD66BD" w:rsidRDefault="0096786D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34291EE" w14:textId="77777777" w:rsidR="0096786D" w:rsidRPr="00DD66BD" w:rsidRDefault="0096786D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BE534E6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32B2270" w14:textId="77777777" w:rsidR="0096786D" w:rsidRPr="00DD66BD" w:rsidRDefault="0096786D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8D4F615" w14:textId="77777777" w:rsidR="0096786D" w:rsidRPr="00DD66BD" w:rsidRDefault="0096786D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8E735D" w14:textId="4CF163D6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638FEB45" w14:textId="77777777" w:rsidR="0096786D" w:rsidRPr="00DD66BD" w:rsidRDefault="0096786D" w:rsidP="0096786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DD66BD">
              <w:rPr>
                <w:rStyle w:val="fontstyle01"/>
                <w:color w:val="auto"/>
              </w:rPr>
              <w:t xml:space="preserve"> </w:t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2341B0CD" w14:textId="77777777" w:rsidR="0096786D" w:rsidRPr="00DD66BD" w:rsidRDefault="0096786D" w:rsidP="0096786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2A28702E" w14:textId="77777777" w:rsidR="0096786D" w:rsidRPr="00DD66BD" w:rsidRDefault="0096786D" w:rsidP="0096786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ECBB43" w14:textId="6C646807" w:rsidR="0096786D" w:rsidRPr="00DD66BD" w:rsidRDefault="0096786D" w:rsidP="0096786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2F7D425" w14:textId="77777777" w:rsidR="0096786D" w:rsidRPr="00DD66BD" w:rsidRDefault="0096786D" w:rsidP="0096786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5892762B" w14:textId="77777777" w:rsidR="0096786D" w:rsidRPr="00DD66BD" w:rsidRDefault="0096786D" w:rsidP="0096786D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DD66B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05CC2A97" w14:textId="77777777" w:rsidR="0096786D" w:rsidRPr="00DD66BD" w:rsidRDefault="0096786D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8A839A" w14:textId="77777777" w:rsidR="0096786D" w:rsidRPr="00DD66BD" w:rsidRDefault="0096786D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0E76CE2" w14:textId="77777777" w:rsidR="0096786D" w:rsidRPr="00DD66BD" w:rsidRDefault="0096786D" w:rsidP="0096786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8B235" w14:textId="5948EDF2" w:rsidR="0096786D" w:rsidRPr="00DD66BD" w:rsidRDefault="0096786D" w:rsidP="0096786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44399649" w14:textId="5DDD4091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7047523F" w14:textId="77777777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7B2B3205" w14:textId="0C02EAD9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32AE2D3" w14:textId="77777777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5F4C9FFA" w14:textId="77777777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2CB352B8" w:rsidR="0096786D" w:rsidRPr="00DD66BD" w:rsidRDefault="0096786D" w:rsidP="0096786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3 - 4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96786D" w:rsidRPr="00DD66BD" w:rsidRDefault="0096786D" w:rsidP="009678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162A8BF5" w14:textId="279B9A7D" w:rsidR="0096786D" w:rsidRPr="00DD66BD" w:rsidRDefault="0096786D" w:rsidP="009678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gas. 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reservoir</w:t>
            </w:r>
          </w:p>
        </w:tc>
        <w:tc>
          <w:tcPr>
            <w:tcW w:w="632" w:type="pct"/>
            <w:shd w:val="clear" w:color="auto" w:fill="auto"/>
          </w:tcPr>
          <w:p w14:paraId="58675340" w14:textId="0EE7B1E3" w:rsidR="0096786D" w:rsidRPr="00DD66BD" w:rsidRDefault="0096786D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pengaplikasian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gas.</w:t>
            </w:r>
          </w:p>
        </w:tc>
        <w:tc>
          <w:tcPr>
            <w:tcW w:w="647" w:type="pct"/>
            <w:shd w:val="clear" w:color="auto" w:fill="auto"/>
          </w:tcPr>
          <w:p w14:paraId="333733B2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96786D" w:rsidRPr="00DD66BD" w:rsidRDefault="0096786D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96786D" w:rsidRPr="00DD66BD" w:rsidRDefault="0096786D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5845AD6D" w:rsidR="0096786D" w:rsidRPr="00DD66BD" w:rsidRDefault="0096786D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pengaplikasian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gas.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96786D" w:rsidRPr="00DD66BD" w:rsidRDefault="0096786D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96786D" w:rsidRPr="00DD66BD" w:rsidRDefault="0096786D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96786D" w:rsidRPr="00DD66BD" w:rsidRDefault="0096786D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96786D" w:rsidRPr="00DD66BD" w:rsidRDefault="0096786D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96786D" w:rsidRPr="00DD66BD" w:rsidRDefault="0096786D" w:rsidP="0096786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96786D" w:rsidRPr="00DD66BD" w:rsidRDefault="0096786D" w:rsidP="0096786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96786D" w:rsidRPr="00DD66BD" w:rsidRDefault="0096786D" w:rsidP="0096786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96786D" w:rsidRPr="00DD66BD" w:rsidRDefault="0096786D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96786D" w:rsidRPr="00DD66BD" w:rsidRDefault="0096786D" w:rsidP="0096786D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96786D" w:rsidRPr="00DD66BD" w:rsidRDefault="0096786D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96786D" w:rsidRPr="00DD66BD" w:rsidRDefault="0096786D" w:rsidP="0096786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96786D" w:rsidRPr="00DD66BD" w:rsidRDefault="0096786D" w:rsidP="0096786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96786D" w:rsidRPr="00DD66BD" w:rsidRDefault="0096786D" w:rsidP="0096786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96786D" w:rsidRPr="00DD66BD" w:rsidRDefault="0096786D" w:rsidP="009678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029B5E63" w:rsidR="0096786D" w:rsidRPr="00DD66BD" w:rsidRDefault="0096786D" w:rsidP="0096786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reservoir.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96786D" w:rsidRPr="00DD66BD" w:rsidRDefault="0096786D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96786D" w:rsidRPr="00DD66BD" w:rsidRDefault="0096786D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3F64D064" w:rsidR="0096786D" w:rsidRPr="00DD66BD" w:rsidRDefault="0096786D" w:rsidP="009678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reservoir.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96786D" w:rsidRPr="00DD66BD" w:rsidRDefault="0096786D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96786D" w:rsidRPr="00DD66BD" w:rsidRDefault="0096786D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96786D" w:rsidRPr="00DD66BD" w:rsidRDefault="0096786D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96786D" w:rsidRPr="00DD66BD" w:rsidRDefault="0096786D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96786D" w:rsidRPr="00DD66BD" w:rsidRDefault="0096786D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96786D" w:rsidRPr="00DD66BD" w:rsidRDefault="0096786D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96786D" w:rsidRPr="00DD66BD" w:rsidRDefault="0096786D" w:rsidP="0096786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96786D" w:rsidRPr="00DD66BD" w:rsidRDefault="0096786D" w:rsidP="0096786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DD66BD">
              <w:rPr>
                <w:b/>
                <w:bCs/>
                <w:lang w:eastAsia="id-ID"/>
              </w:rPr>
              <w:t>uis</w:t>
            </w:r>
            <w:proofErr w:type="spellEnd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96786D" w:rsidRPr="00DD66BD" w:rsidRDefault="0096786D" w:rsidP="0096786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96786D" w:rsidRPr="00DD66BD" w:rsidRDefault="0096786D" w:rsidP="0096786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96786D" w:rsidRPr="00DD66BD" w:rsidRDefault="0096786D" w:rsidP="0096786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96786D" w:rsidRPr="00DD66BD" w:rsidRDefault="0096786D" w:rsidP="0096786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96786D" w:rsidRPr="00DD66BD" w:rsidRDefault="0096786D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96786D" w:rsidRPr="00DD66BD" w:rsidRDefault="0096786D" w:rsidP="0096786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96786D" w:rsidRPr="00DD66BD" w:rsidRDefault="0096786D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96786D" w:rsidRPr="00DD66BD" w:rsidRDefault="0096786D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1EA14FE6" w14:textId="77777777" w:rsidTr="00A153D2">
        <w:tc>
          <w:tcPr>
            <w:tcW w:w="219" w:type="pct"/>
            <w:vMerge w:val="restart"/>
            <w:shd w:val="clear" w:color="auto" w:fill="auto"/>
          </w:tcPr>
          <w:p w14:paraId="008881EA" w14:textId="45C9FEE5" w:rsidR="002F57B7" w:rsidRPr="00DD66BD" w:rsidRDefault="002F57B7" w:rsidP="0096786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5 - 6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0D91D36F" w14:textId="21F53214" w:rsidR="002F57B7" w:rsidRPr="00DD66BD" w:rsidRDefault="002F57B7" w:rsidP="009678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04356123" w14:textId="07B4447A" w:rsidR="002F57B7" w:rsidRPr="00DD66BD" w:rsidRDefault="002F57B7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kontrol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eustatik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tectonic, dan sediment supply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relatif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0EDC348D" w14:textId="5EB164CD" w:rsidR="002F57B7" w:rsidRPr="00DD66BD" w:rsidRDefault="002F57B7" w:rsidP="0096786D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kontrol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eustatik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tectonic, dan sediment supply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2F57B7" w:rsidRPr="00DD66BD" w:rsidRDefault="002F57B7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2F57B7" w:rsidRPr="00DD66BD" w:rsidRDefault="002F57B7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2F57B7" w:rsidRPr="00DD66BD" w:rsidRDefault="002F57B7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2F57B7" w:rsidRPr="00DD66BD" w:rsidRDefault="002F57B7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6EA269DE" w:rsidR="002F57B7" w:rsidRPr="00DD66BD" w:rsidRDefault="002F57B7" w:rsidP="00967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kontrol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eustatik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tectonic, dan sediment supply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71207DF1" w14:textId="77777777" w:rsidR="002F57B7" w:rsidRPr="00DD66BD" w:rsidRDefault="002F57B7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2F57B7" w:rsidRPr="00DD66BD" w:rsidRDefault="002F57B7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2F57B7" w:rsidRPr="00DD66BD" w:rsidRDefault="002F57B7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2F57B7" w:rsidRPr="00DD66BD" w:rsidRDefault="002F57B7" w:rsidP="0096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2F57B7" w:rsidRPr="00DD66BD" w:rsidRDefault="002F57B7" w:rsidP="0096786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2F57B7" w:rsidRPr="00DD66BD" w:rsidRDefault="002F57B7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2F57B7" w:rsidRPr="00DD66BD" w:rsidRDefault="002F57B7" w:rsidP="0096786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2F57B7" w:rsidRPr="00DD66BD" w:rsidRDefault="002F57B7" w:rsidP="009678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2F57B7" w:rsidRPr="00DD66BD" w:rsidRDefault="002F57B7" w:rsidP="009678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2F57B7" w:rsidRPr="00DD66BD" w:rsidRDefault="002F57B7" w:rsidP="0096786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2F57B7" w:rsidRPr="00DD66BD" w:rsidRDefault="002F57B7" w:rsidP="0096786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2F57B7" w:rsidRPr="00DD66BD" w:rsidRDefault="002F57B7" w:rsidP="0096786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2F57B7" w:rsidRPr="00DD66BD" w:rsidRDefault="002F57B7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2F57B7" w:rsidRPr="00DD66BD" w:rsidRDefault="002F57B7" w:rsidP="0096786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2F57B7" w:rsidRPr="00DD66BD" w:rsidRDefault="002F57B7" w:rsidP="0096786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2F57B7" w:rsidRPr="00DD66BD" w:rsidRDefault="002F57B7" w:rsidP="009678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2F57B7" w:rsidRPr="00DD66BD" w:rsidRDefault="002F57B7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2F57B7" w:rsidRPr="00DD66BD" w:rsidRDefault="002F57B7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2F57B7" w:rsidRPr="00DD66BD" w:rsidRDefault="002F57B7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2F57B7" w:rsidRPr="00DD66BD" w:rsidRDefault="002F57B7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2F57B7" w:rsidRPr="00DD66BD" w:rsidRDefault="002F57B7" w:rsidP="009678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1D759619" w14:textId="77777777" w:rsidTr="00A153D2">
        <w:tc>
          <w:tcPr>
            <w:tcW w:w="219" w:type="pct"/>
            <w:vMerge/>
            <w:shd w:val="clear" w:color="auto" w:fill="auto"/>
          </w:tcPr>
          <w:p w14:paraId="2D119D31" w14:textId="77777777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7C8213E" w14:textId="77777777" w:rsidR="002F57B7" w:rsidRPr="00DD66BD" w:rsidRDefault="002F57B7" w:rsidP="002F57B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3B00317" w14:textId="14B64CDF" w:rsidR="002F57B7" w:rsidRPr="00DD66BD" w:rsidRDefault="002F57B7" w:rsidP="002F57B7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relatif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6928C5BD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36E283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09CA949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72C5C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7372B4" w14:textId="59C7DCD1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relatif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29A31C7C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88805C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CB135EC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6E52CF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6BB242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2A24666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738848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693FE1BC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2044C37" w14:textId="52C3D03F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3D18F0C1" w14:textId="7777777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00D8FD39" w14:textId="7777777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1F7736C5" w14:textId="77777777" w:rsidR="002F57B7" w:rsidRPr="00DD66BD" w:rsidRDefault="002F57B7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9ECB83D" w14:textId="3B7CECD9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2971889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39951DE1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4E954" w14:textId="28A81FF9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5F582E4E" w14:textId="54DF6820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54F54AAA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13E3DEA" w14:textId="19AA7735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BDA11E6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7ED80DD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218CD306" w14:textId="77777777" w:rsidTr="00A153D2">
        <w:tc>
          <w:tcPr>
            <w:tcW w:w="219" w:type="pct"/>
            <w:vMerge w:val="restart"/>
            <w:shd w:val="clear" w:color="auto" w:fill="auto"/>
          </w:tcPr>
          <w:p w14:paraId="2D82ECF1" w14:textId="02B5350F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7 - 8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717FCAA7" w14:textId="51D621D4" w:rsidR="002F57B7" w:rsidRPr="00DD66BD" w:rsidRDefault="002F57B7" w:rsidP="002F57B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[Sub-CPMK-4]</w:t>
            </w:r>
          </w:p>
          <w:p w14:paraId="12C8B0D8" w14:textId="49BF0E8D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sequence boundaries, transgressions, regressions, dan maximum flooding surface. 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pengendapan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38351966" w14:textId="237ED28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(sequence boundaries, transgressions, regressions, dan maximum flooding surface).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76BEC6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0B409D01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6047C3" w14:textId="6ACC8A55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(sequence boundaries, transgressions, regressions, dan maximum flooding surface).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D505B2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80E92F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4E1B7EAB" w14:textId="7777777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2F57B7" w:rsidRPr="00DD66BD" w:rsidRDefault="002F57B7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2F57B7" w:rsidRPr="00DD66BD" w:rsidRDefault="002F57B7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74D4001F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259923D0" w14:textId="77777777" w:rsidTr="00A153D2">
        <w:tc>
          <w:tcPr>
            <w:tcW w:w="219" w:type="pct"/>
            <w:vMerge/>
            <w:shd w:val="clear" w:color="auto" w:fill="auto"/>
          </w:tcPr>
          <w:p w14:paraId="52FA4AA4" w14:textId="77777777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670E4BE5" w14:textId="77777777" w:rsidR="002F57B7" w:rsidRPr="00DD66BD" w:rsidRDefault="002F57B7" w:rsidP="002F57B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A82739F" w14:textId="6FA22229" w:rsidR="002F57B7" w:rsidRPr="00DD66BD" w:rsidRDefault="002F57B7" w:rsidP="002F57B7">
            <w:pPr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3F0C0AD5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C085D8D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F9D1B2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E93F2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99A7606" w14:textId="78163259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tanda-tanda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pengendapan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00AB94D2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178ED11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72B8889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4C21A92A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2638F58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07EE9B5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FD863DA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B7B6448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57C30B70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9AB1C9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9A34DA6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8E6CD39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65AEA728" w14:textId="195BB72F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6E8F57BE" w14:textId="7777777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0C2613C8" w14:textId="7777777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2BD18798" w14:textId="77777777" w:rsidR="002F57B7" w:rsidRPr="00DD66BD" w:rsidRDefault="002F57B7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4FA7B5" w14:textId="204BA4F1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1037969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D556C0A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1C676" w14:textId="611E8CA1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4A877283" w14:textId="6C05E3E3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940D6AB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778381C" w14:textId="39046EC8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3A0D69C8" w14:textId="7A1AB71C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2F9FEECE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363BCB5C" w14:textId="77777777" w:rsidTr="00A153D2">
        <w:trPr>
          <w:trHeight w:val="1991"/>
        </w:trPr>
        <w:tc>
          <w:tcPr>
            <w:tcW w:w="219" w:type="pct"/>
            <w:vMerge w:val="restart"/>
            <w:shd w:val="clear" w:color="auto" w:fill="auto"/>
          </w:tcPr>
          <w:p w14:paraId="32884CA5" w14:textId="18923441" w:rsidR="00F71B65" w:rsidRPr="00DD66BD" w:rsidRDefault="00F71B65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9 - 10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1F4DF9C8" w14:textId="337C23F1" w:rsidR="00F71B65" w:rsidRPr="00DD66BD" w:rsidRDefault="00F71B65" w:rsidP="002F57B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[Sub-CPMK-5]</w:t>
            </w:r>
          </w:p>
          <w:p w14:paraId="31F12A03" w14:textId="7440C018" w:rsidR="00F71B65" w:rsidRPr="00DD66BD" w:rsidRDefault="00F71B65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log dan data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sumur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menginterpretasi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menggunakan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penampang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data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lapangan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0BE5874A" w14:textId="65F57EA5" w:rsidR="00F71B65" w:rsidRPr="00DD66BD" w:rsidRDefault="00F71B65" w:rsidP="002F57B7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log dan data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sumur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F71B65" w:rsidRPr="00DD66BD" w:rsidRDefault="00F71B65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1FC573" w14:textId="77777777" w:rsidR="00F71B65" w:rsidRPr="00DD66BD" w:rsidRDefault="00F71B65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F71B65" w:rsidRPr="00DD66BD" w:rsidRDefault="00F71B65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F71B65" w:rsidRPr="00DD66BD" w:rsidRDefault="00F71B65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23DC47" w14:textId="4C86AD3F" w:rsidR="00F71B65" w:rsidRPr="00DD66BD" w:rsidRDefault="00F71B65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log dan data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sumur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F71B65" w:rsidRPr="00DD66BD" w:rsidRDefault="00F71B65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57999C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F71B65" w:rsidRPr="00DD66BD" w:rsidRDefault="00F71B65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937D9F" w14:textId="77777777" w:rsidR="00F71B65" w:rsidRPr="00DD66BD" w:rsidRDefault="00F71B65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F71B65" w:rsidRPr="00DD66BD" w:rsidRDefault="00F71B65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F71B65" w:rsidRPr="00DD66BD" w:rsidRDefault="00F71B65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F71B65" w:rsidRPr="00DD66BD" w:rsidRDefault="00F71B65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F71B65" w:rsidRPr="00DD66BD" w:rsidRDefault="00F71B65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F71B65" w:rsidRPr="00DD66BD" w:rsidRDefault="00F71B65" w:rsidP="002F57B7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F71B65" w:rsidRPr="00DD66BD" w:rsidRDefault="00F71B65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F71B65" w:rsidRPr="00DD66BD" w:rsidRDefault="00F71B65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1D43C5BC" w14:textId="77777777" w:rsidR="00F71B65" w:rsidRPr="00DD66BD" w:rsidRDefault="00F71B65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F71B65" w:rsidRPr="00DD66BD" w:rsidRDefault="00F71B65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F71B65" w:rsidRPr="00DD66BD" w:rsidRDefault="00F71B65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F71B65" w:rsidRPr="00DD66BD" w:rsidRDefault="00F71B65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87780A" w14:textId="77777777" w:rsidR="00F71B65" w:rsidRPr="00DD66BD" w:rsidRDefault="00F71B65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F71B65" w:rsidRPr="00DD66BD" w:rsidRDefault="00F71B65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F71B65" w:rsidRPr="00DD66BD" w:rsidRDefault="00F71B65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F71B65" w:rsidRPr="00DD66BD" w:rsidRDefault="00F71B65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F71B65" w:rsidRPr="00DD66BD" w:rsidRDefault="00F71B65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F71B65" w:rsidRPr="00DD66BD" w:rsidRDefault="00F71B65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F71B65" w:rsidRPr="00DD66BD" w:rsidRDefault="00F71B65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55551E24" w14:textId="77777777" w:rsidTr="00A153D2">
        <w:trPr>
          <w:trHeight w:val="1991"/>
        </w:trPr>
        <w:tc>
          <w:tcPr>
            <w:tcW w:w="219" w:type="pct"/>
            <w:vMerge/>
            <w:shd w:val="clear" w:color="auto" w:fill="auto"/>
          </w:tcPr>
          <w:p w14:paraId="4E24EEE6" w14:textId="77777777" w:rsidR="00F71B65" w:rsidRPr="00DD66BD" w:rsidRDefault="00F71B65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79EDCBD0" w14:textId="77777777" w:rsidR="00F71B65" w:rsidRPr="00DD66BD" w:rsidRDefault="00F71B65" w:rsidP="002F57B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2B0D7BC" w14:textId="18FE2DCA" w:rsidR="00F71B65" w:rsidRPr="00DD66BD" w:rsidRDefault="00F71B65" w:rsidP="002F57B7">
            <w:pPr>
              <w:autoSpaceDE/>
              <w:autoSpaceDN/>
              <w:contextualSpacing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menginterpretasi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penampang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data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lapangan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4FA447E" w14:textId="77777777" w:rsidR="00F71B65" w:rsidRPr="00DD66BD" w:rsidRDefault="00F71B65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0228D49" w14:textId="77777777" w:rsidR="00F71B65" w:rsidRPr="00DD66BD" w:rsidRDefault="00F71B65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0892F893" w14:textId="77777777" w:rsidR="00F71B65" w:rsidRPr="00DD66BD" w:rsidRDefault="00F71B65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6C4B8" w14:textId="77777777" w:rsidR="00F71B65" w:rsidRPr="00DD66BD" w:rsidRDefault="00F71B65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55113CC" w14:textId="4D2D6DB0" w:rsidR="00F71B65" w:rsidRPr="00DD66BD" w:rsidRDefault="00F71B65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Menginterpretasi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sekuen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penampang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data </w:t>
            </w:r>
            <w:proofErr w:type="spellStart"/>
            <w:r w:rsidRPr="00DD66BD">
              <w:rPr>
                <w:rFonts w:ascii="Calibri" w:hAnsi="Calibri" w:cs="Calibri"/>
                <w:sz w:val="22"/>
                <w:szCs w:val="22"/>
                <w:lang w:val="en-ID" w:eastAsia="en-ID"/>
              </w:rPr>
              <w:t>lapangan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15930F34" w14:textId="77777777" w:rsidR="00F71B65" w:rsidRPr="00DD66BD" w:rsidRDefault="00F71B65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5BAEBAC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EEFFEA7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480905FD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D379307" w14:textId="77777777" w:rsidR="00F71B65" w:rsidRPr="00DD66BD" w:rsidRDefault="00F71B65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103E65" w14:textId="77777777" w:rsidR="00F71B65" w:rsidRPr="00DD66BD" w:rsidRDefault="00F71B65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2369424" w14:textId="77777777" w:rsidR="00F71B65" w:rsidRPr="00DD66BD" w:rsidRDefault="00F71B65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22DDEED7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72065B4" w14:textId="77777777" w:rsidR="00F71B65" w:rsidRPr="00DD66BD" w:rsidRDefault="00F71B65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EA7BAF" w14:textId="77777777" w:rsidR="00F71B65" w:rsidRPr="00DD66BD" w:rsidRDefault="00F71B65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6E97EBD9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3FC6A9" w14:textId="77777777" w:rsidR="00F71B65" w:rsidRPr="00DD66BD" w:rsidRDefault="00F71B65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0AB531B7" w14:textId="77777777" w:rsidR="00F71B65" w:rsidRPr="00DD66BD" w:rsidRDefault="00F71B65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6440F7AB" w14:textId="77777777" w:rsidR="00F71B65" w:rsidRPr="00DD66BD" w:rsidRDefault="00F71B65" w:rsidP="002F57B7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52716468" w14:textId="2B6A522F" w:rsidR="00F71B65" w:rsidRPr="00DD66BD" w:rsidRDefault="00F71B65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28DFA09B" w14:textId="77777777" w:rsidR="00F71B65" w:rsidRPr="00DD66BD" w:rsidRDefault="00F71B65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26211162" w14:textId="77777777" w:rsidR="00F71B65" w:rsidRPr="00DD66BD" w:rsidRDefault="00F71B65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5DA4A37B" w14:textId="77777777" w:rsidR="00F71B65" w:rsidRPr="00DD66BD" w:rsidRDefault="00F71B65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25C7D0" w14:textId="10209F72" w:rsidR="00F71B65" w:rsidRPr="00DD66BD" w:rsidRDefault="00F71B65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E919242" w14:textId="77777777" w:rsidR="00F71B65" w:rsidRPr="00DD66BD" w:rsidRDefault="00F71B65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1A4D082" w14:textId="77777777" w:rsidR="00F71B65" w:rsidRPr="00DD66BD" w:rsidRDefault="00F71B65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F7531" w14:textId="6ADFDF98" w:rsidR="00F71B65" w:rsidRPr="00DD66BD" w:rsidRDefault="00F71B65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DEFB197" w14:textId="2991B84A" w:rsidR="00F71B65" w:rsidRPr="00DD66BD" w:rsidRDefault="00F71B65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F7CD110" w14:textId="77777777" w:rsidR="00F71B65" w:rsidRPr="00DD66BD" w:rsidRDefault="00F71B65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26D192B" w14:textId="5657C247" w:rsidR="00F71B65" w:rsidRPr="00DD66BD" w:rsidRDefault="00F71B65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E6B75F8" w14:textId="7FC4FDFF" w:rsidR="00F71B65" w:rsidRPr="00DD66BD" w:rsidRDefault="00F71B65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B995B6C" w14:textId="77777777" w:rsidR="00F71B65" w:rsidRPr="00DD66BD" w:rsidRDefault="00F71B65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2F57B7" w:rsidRPr="00DD66BD" w:rsidRDefault="002F57B7" w:rsidP="002F57B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2F57B7" w:rsidRPr="00DD66BD" w:rsidRDefault="002F57B7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2F57B7" w:rsidRPr="00DD66BD" w:rsidRDefault="002F57B7" w:rsidP="002F57B7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  <w:r w:rsidRPr="00DD66BD">
              <w:rPr>
                <w:rStyle w:val="fontstyle01"/>
                <w:color w:val="auto"/>
              </w:rPr>
              <w:t>-</w:t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2F57B7" w:rsidRPr="00DD66BD" w:rsidRDefault="002F57B7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94A528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2BA95665" w:rsidR="002F57B7" w:rsidRPr="00DD66BD" w:rsidRDefault="002F57B7" w:rsidP="002F57B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[Sub-CPMK-6]</w:t>
            </w:r>
          </w:p>
          <w:p w14:paraId="0EB2353C" w14:textId="43909073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mengolah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32" w:type="pct"/>
            <w:shd w:val="clear" w:color="auto" w:fill="auto"/>
          </w:tcPr>
          <w:p w14:paraId="65B0F2DF" w14:textId="265DB9CF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, 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96C58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375" w14:textId="1F04675A" w:rsidR="002F57B7" w:rsidRPr="00DD66BD" w:rsidRDefault="002F57B7" w:rsidP="002F57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DD66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Excel, </w:t>
            </w:r>
            <w:r w:rsidRPr="00DD66B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Geochemical Data Toolkit</w:t>
            </w:r>
            <w:r w:rsidRPr="00DD66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D66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GCDKit</w:t>
            </w:r>
            <w:proofErr w:type="spellEnd"/>
            <w:r w:rsidRPr="00DD66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 w:rsidRPr="00DD66B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Stanford Geostatistical Modeling Software</w:t>
            </w:r>
            <w:r w:rsidRPr="00DD66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D66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SGeMS</w:t>
            </w:r>
            <w:proofErr w:type="spellEnd"/>
            <w:r w:rsidRPr="00DD66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DD66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danGstat</w:t>
            </w:r>
            <w:proofErr w:type="spellEnd"/>
          </w:p>
          <w:p w14:paraId="30B2CA53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7F687F58" w:rsidR="002F57B7" w:rsidRPr="00DD66BD" w:rsidRDefault="002F57B7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analisis semi-variogram dan varriogram, serta menginterpretasi data </w:t>
            </w:r>
            <w:r w:rsidRPr="00DD66B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sampling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data bor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2F57B7" w:rsidRPr="00DD66BD" w:rsidRDefault="002F57B7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A02B9A" w14:textId="7CF6BE75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2F57B7" w:rsidRPr="00DD66BD" w:rsidRDefault="002F57B7" w:rsidP="002F57B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F38F045" w14:textId="175E1905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, 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semi-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EAA3AE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9EDF1E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ke-10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12D2FE90" w14:textId="7777777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2F57B7" w:rsidRPr="00DD66BD" w:rsidRDefault="002F57B7" w:rsidP="002F57B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3056723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menginterpretasi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membuat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hasil sampling dan pengeboran dalam bentuk statistik</w:t>
            </w: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FBDBFD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1949573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A27A9D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ke-11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426FDF2F" w14:textId="7777777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77777777" w:rsidR="002F57B7" w:rsidRPr="00DD66BD" w:rsidRDefault="002F57B7" w:rsidP="002F57B7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[Sub-CPMK-7]</w:t>
            </w:r>
          </w:p>
          <w:p w14:paraId="36C10F38" w14:textId="1C1592E9" w:rsidR="002F57B7" w:rsidRPr="00DD66BD" w:rsidRDefault="002F57B7" w:rsidP="002F57B7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data geostatistik dan menginterpretasi data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DD66B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IDW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32" w:type="pct"/>
            <w:shd w:val="clear" w:color="auto" w:fill="auto"/>
          </w:tcPr>
          <w:p w14:paraId="2771984F" w14:textId="456ABCD7" w:rsidR="002F57B7" w:rsidRPr="00DD66BD" w:rsidRDefault="002F57B7" w:rsidP="002F57B7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menginterpretasi data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DD66B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IDW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95703" w14:textId="701CD596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: Ms. Excel, QGIS</w:t>
            </w:r>
          </w:p>
          <w:p w14:paraId="15EC1231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5B4F6FA8" w:rsidR="002F57B7" w:rsidRPr="00DD66BD" w:rsidRDefault="002F57B7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mengenali IDW &amp;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2F57B7" w:rsidRPr="00DD66BD" w:rsidRDefault="002F57B7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1BB08F0" w14:textId="7777777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2F57B7" w:rsidRPr="00DD66BD" w:rsidRDefault="002F57B7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2F57B7" w:rsidRPr="00DD66BD" w:rsidRDefault="002F57B7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098CECB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2F57B7" w:rsidRPr="00DD66BD" w:rsidRDefault="002F57B7" w:rsidP="002F57B7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192DA1EF" w:rsidR="002F57B7" w:rsidRPr="00DD66BD" w:rsidRDefault="002F57B7" w:rsidP="002F57B7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menginterpretasi data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D981FC" w14:textId="16FABC50" w:rsidR="002F57B7" w:rsidRPr="00DD66BD" w:rsidRDefault="002F57B7" w:rsidP="002F57B7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analisis univariat dan menginterpretasi data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D005CB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003BEE5" w14:textId="7777777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2F57B7" w:rsidRPr="00DD66BD" w:rsidRDefault="002F57B7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2F57B7" w:rsidRPr="00DD66BD" w:rsidRDefault="002F57B7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5F998A8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[Sub-CPMK-8]</w:t>
            </w:r>
          </w:p>
          <w:p w14:paraId="31B77528" w14:textId="2F4C8B01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cadangan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regular pada endapan bijih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5701B53D" w:rsidR="002F57B7" w:rsidRPr="00DD66BD" w:rsidRDefault="002F57B7" w:rsidP="002F57B7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6B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database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DD66BD">
              <w:rPr>
                <w:rFonts w:asciiTheme="minorHAnsi" w:hAnsiTheme="minorHAnsi" w:cstheme="minorHAnsi"/>
                <w:iCs/>
                <w:sz w:val="22"/>
                <w:szCs w:val="22"/>
                <w:lang w:val="sv-SE"/>
              </w:rPr>
              <w:t xml:space="preserve">untuk mengestimasi 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cadangan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regular pada endapan bijih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0C01C5B6" w:rsidR="002F57B7" w:rsidRPr="00DD66BD" w:rsidRDefault="002F57B7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cadangan </w:t>
            </w:r>
            <w:r w:rsidRPr="00DD66B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DD66B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pada endapan bijih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A98AF22" w14:textId="7777777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2F57B7" w:rsidRPr="00DD66BD" w:rsidRDefault="002F57B7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287F6E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D66BD" w:rsidRPr="00DD66BD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2F57B7" w:rsidRPr="00DD66BD" w:rsidRDefault="002F57B7" w:rsidP="002F57B7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2DA8A0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B72447" w14:textId="57B26532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cadangan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regular pada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endapan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bijih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40155A06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2B6A4E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9A6215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ke-15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7C0E4A18" w14:textId="1A1F5B5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2F57B7" w:rsidRPr="00DD66BD" w:rsidRDefault="002F57B7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D6A40D8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F57B7" w:rsidRPr="00DD66BD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2F57B7" w:rsidRPr="00DD66BD" w:rsidRDefault="002F57B7" w:rsidP="002F57B7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2F57B7" w:rsidRPr="00DD66BD" w:rsidRDefault="002F57B7" w:rsidP="002F57B7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D66B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2F57B7" w:rsidRPr="00DD66BD" w:rsidRDefault="002F57B7" w:rsidP="002F5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2F57B7" w:rsidRPr="00DD66BD" w:rsidRDefault="002F57B7" w:rsidP="002F57B7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2F57B7" w:rsidRPr="00DD66BD" w:rsidRDefault="002F57B7" w:rsidP="002F5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D66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2F57B7" w:rsidRPr="00DD66BD" w:rsidRDefault="002F57B7" w:rsidP="002F57B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D66B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DD66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D66B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2F57B7" w:rsidRPr="00DD66BD" w:rsidRDefault="002F57B7" w:rsidP="002F57B7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 lima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2F57B7" w:rsidRPr="00DD66BD" w:rsidRDefault="002F57B7" w:rsidP="002F57B7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3307524" w14:textId="77777777" w:rsidR="002F57B7" w:rsidRPr="00DD66BD" w:rsidRDefault="002F57B7" w:rsidP="002F57B7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2F57B7" w:rsidRPr="00DD66BD" w:rsidRDefault="002F57B7" w:rsidP="002F57B7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D66B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D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2F57B7" w:rsidRPr="00DD66BD" w:rsidRDefault="002F57B7" w:rsidP="002F57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DD66BD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Pr="00DD66BD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DD66BD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DD66BD" w:rsidSect="005E467A"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DD66BD">
        <w:rPr>
          <w:rFonts w:asciiTheme="minorHAnsi" w:hAnsiTheme="minorHAnsi" w:cstheme="minorHAnsi"/>
          <w:b/>
          <w:bCs/>
          <w:sz w:val="24"/>
          <w:szCs w:val="24"/>
        </w:rPr>
        <w:t xml:space="preserve">Rubrik </w:t>
      </w:r>
      <w:proofErr w:type="spellStart"/>
      <w:r w:rsidRPr="00DD66BD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DD66BD" w:rsidRPr="00DD66BD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DD66BD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DD66BD" w:rsidRPr="00DD66BD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DD66B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D66BD" w:rsidRPr="00DD66BD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DD66B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D66BD" w:rsidRPr="00DD66BD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DD66B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D66BD" w:rsidRPr="00DD66BD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DD66B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DD66BD" w:rsidRPr="00DD66BD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DD66B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6B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DD66BD" w:rsidRPr="00DD66BD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DD66BD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6BD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6BD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6BD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6BD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DD66B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6BD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DD66BD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DD66BD">
        <w:rPr>
          <w:noProof/>
        </w:rPr>
        <w:drawing>
          <wp:inline distT="0" distB="0" distL="0" distR="0" wp14:anchorId="5649A183" wp14:editId="7A8B6ADB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DD66BD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4E14" w14:textId="77777777" w:rsidR="00725E56" w:rsidRDefault="00725E56">
      <w:r>
        <w:separator/>
      </w:r>
    </w:p>
  </w:endnote>
  <w:endnote w:type="continuationSeparator" w:id="0">
    <w:p w14:paraId="627B0125" w14:textId="77777777" w:rsidR="00725E56" w:rsidRDefault="0072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A471" w14:textId="77777777" w:rsidR="00725E56" w:rsidRDefault="00725E56">
      <w:r>
        <w:separator/>
      </w:r>
    </w:p>
  </w:footnote>
  <w:footnote w:type="continuationSeparator" w:id="0">
    <w:p w14:paraId="26C02735" w14:textId="77777777" w:rsidR="00725E56" w:rsidRDefault="0072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B68"/>
    <w:multiLevelType w:val="multilevel"/>
    <w:tmpl w:val="72BC0C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01CC"/>
    <w:multiLevelType w:val="multilevel"/>
    <w:tmpl w:val="F438B0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5485"/>
    <w:multiLevelType w:val="multilevel"/>
    <w:tmpl w:val="213C7F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60E04"/>
    <w:multiLevelType w:val="multilevel"/>
    <w:tmpl w:val="A992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14288"/>
    <w:multiLevelType w:val="multilevel"/>
    <w:tmpl w:val="52143E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83BA2"/>
    <w:multiLevelType w:val="hybridMultilevel"/>
    <w:tmpl w:val="6630B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088F98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20CB9"/>
    <w:multiLevelType w:val="multilevel"/>
    <w:tmpl w:val="A0AA08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06034">
    <w:abstractNumId w:val="3"/>
  </w:num>
  <w:num w:numId="2" w16cid:durableId="1647002945">
    <w:abstractNumId w:val="1"/>
  </w:num>
  <w:num w:numId="3" w16cid:durableId="273945505">
    <w:abstractNumId w:val="5"/>
  </w:num>
  <w:num w:numId="4" w16cid:durableId="178355717">
    <w:abstractNumId w:val="0"/>
  </w:num>
  <w:num w:numId="5" w16cid:durableId="54668846">
    <w:abstractNumId w:val="6"/>
  </w:num>
  <w:num w:numId="6" w16cid:durableId="572544745">
    <w:abstractNumId w:val="4"/>
  </w:num>
  <w:num w:numId="7" w16cid:durableId="22633403">
    <w:abstractNumId w:val="2"/>
  </w:num>
  <w:num w:numId="8" w16cid:durableId="869224127">
    <w:abstractNumId w:val="8"/>
  </w:num>
  <w:num w:numId="9" w16cid:durableId="61460129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22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240E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7B7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A7A61"/>
    <w:rsid w:val="003B0412"/>
    <w:rsid w:val="003B2DA5"/>
    <w:rsid w:val="003B4232"/>
    <w:rsid w:val="003B4D47"/>
    <w:rsid w:val="003B50E8"/>
    <w:rsid w:val="003B69C9"/>
    <w:rsid w:val="003B79CF"/>
    <w:rsid w:val="003C59A4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2DA8"/>
    <w:rsid w:val="005045FE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3980"/>
    <w:rsid w:val="0057401C"/>
    <w:rsid w:val="00576D9D"/>
    <w:rsid w:val="00577260"/>
    <w:rsid w:val="00580D50"/>
    <w:rsid w:val="005823D8"/>
    <w:rsid w:val="00587E3B"/>
    <w:rsid w:val="0059179B"/>
    <w:rsid w:val="0059231B"/>
    <w:rsid w:val="0059286E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38A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383E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25E56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2E7B"/>
    <w:rsid w:val="0087531A"/>
    <w:rsid w:val="0087654A"/>
    <w:rsid w:val="00880B76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C7C14"/>
    <w:rsid w:val="008D0FD9"/>
    <w:rsid w:val="008D1D63"/>
    <w:rsid w:val="008D2D2F"/>
    <w:rsid w:val="008D3BE4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2881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86D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496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8FB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8E6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39FC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66BD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05A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1B65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E0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Sekuen Stratigrafi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15928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Rahmat Abdillah</cp:lastModifiedBy>
  <cp:revision>12</cp:revision>
  <cp:lastPrinted>2000-08-06T21:38:00Z</cp:lastPrinted>
  <dcterms:created xsi:type="dcterms:W3CDTF">2023-06-02T09:58:00Z</dcterms:created>
  <dcterms:modified xsi:type="dcterms:W3CDTF">2023-06-24T03:20:00Z</dcterms:modified>
  <cp:category>Kurikulum;Document;Draft</cp:category>
  <cp:contentStatus>RPS Mata Kuliah</cp:contentStatus>
</cp:coreProperties>
</file>